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D0" w:rsidRPr="002117D0" w:rsidRDefault="002117D0" w:rsidP="002117D0">
      <w:pPr>
        <w:shd w:val="clear" w:color="auto" w:fill="FFFFFF"/>
        <w:spacing w:after="72" w:line="240" w:lineRule="auto"/>
        <w:outlineLvl w:val="0"/>
        <w:rPr>
          <w:rFonts w:ascii="Arial" w:eastAsia="Times New Roman" w:hAnsi="Arial" w:cs="Arial"/>
          <w:b/>
          <w:bCs/>
          <w:color w:val="403F3F"/>
          <w:kern w:val="36"/>
          <w:sz w:val="45"/>
          <w:szCs w:val="45"/>
          <w:lang w:eastAsia="ru-RU"/>
        </w:rPr>
      </w:pPr>
      <w:r w:rsidRPr="002117D0">
        <w:rPr>
          <w:rFonts w:ascii="Arial" w:eastAsia="Times New Roman" w:hAnsi="Arial" w:cs="Arial"/>
          <w:b/>
          <w:bCs/>
          <w:color w:val="403F3F"/>
          <w:kern w:val="36"/>
          <w:sz w:val="45"/>
          <w:szCs w:val="45"/>
          <w:lang w:eastAsia="ru-RU"/>
        </w:rPr>
        <w:t>Нормативы потребления коммунальной услуги по электроснабжению на общедомовые нужды, введены в действие с 1 января 2014 года</w:t>
      </w:r>
    </w:p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bookmarkStart w:id="0" w:name="_GoBack"/>
      <w:bookmarkEnd w:id="0"/>
      <w:r w:rsidRPr="002117D0">
        <w:rPr>
          <w:rFonts w:ascii="Arial" w:eastAsia="Times New Roman" w:hAnsi="Arial" w:cs="Arial"/>
          <w:color w:val="403F3F"/>
          <w:sz w:val="19"/>
          <w:szCs w:val="19"/>
          <w:lang w:eastAsia="ru-RU"/>
        </w:rPr>
        <w:t> </w:t>
      </w:r>
    </w:p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proofErr w:type="spellStart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кВт</w:t>
      </w:r>
      <w:proofErr w:type="gramStart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.ч</w:t>
      </w:r>
      <w:proofErr w:type="spellEnd"/>
      <w:proofErr w:type="gramEnd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1 </w:t>
      </w:r>
      <w:proofErr w:type="spellStart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кв.м</w:t>
      </w:r>
      <w:proofErr w:type="spellEnd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общей площади помещений, входящих в состав общего имущества в многоквартирном доме, в месяц</w:t>
      </w:r>
    </w:p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r w:rsidRPr="002117D0">
        <w:rPr>
          <w:rFonts w:ascii="Arial" w:eastAsia="Times New Roman" w:hAnsi="Arial" w:cs="Arial"/>
          <w:color w:val="403F3F"/>
          <w:sz w:val="19"/>
          <w:szCs w:val="19"/>
          <w:lang w:eastAsia="ru-RU"/>
        </w:rPr>
        <w:t> </w:t>
      </w:r>
    </w:p>
    <w:tbl>
      <w:tblPr>
        <w:tblW w:w="9080" w:type="dxa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5621"/>
        <w:gridCol w:w="2551"/>
      </w:tblGrid>
      <w:tr w:rsidR="002117D0" w:rsidRPr="002117D0" w:rsidTr="002117D0">
        <w:trPr>
          <w:trHeight w:val="375"/>
        </w:trPr>
        <w:tc>
          <w:tcPr>
            <w:tcW w:w="908" w:type="dxa"/>
            <w:tcBorders>
              <w:top w:val="single" w:sz="8" w:space="0" w:color="F7CF25"/>
              <w:left w:val="single" w:sz="8" w:space="0" w:color="F7CF25"/>
              <w:bottom w:val="single" w:sz="8" w:space="0" w:color="F7CF25"/>
              <w:right w:val="single" w:sz="8" w:space="0" w:color="F7CF25"/>
            </w:tcBorders>
            <w:shd w:val="clear" w:color="auto" w:fill="FCEFA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№</w:t>
            </w:r>
          </w:p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п</w:t>
            </w:r>
            <w:proofErr w:type="gramEnd"/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5621" w:type="dxa"/>
            <w:tcBorders>
              <w:top w:val="single" w:sz="8" w:space="0" w:color="F7CF25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FCEFA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Наименование групп оборудования, являющегося общим имуществом многоквартирного дома</w:t>
            </w:r>
          </w:p>
        </w:tc>
        <w:tc>
          <w:tcPr>
            <w:tcW w:w="2551" w:type="dxa"/>
            <w:tcBorders>
              <w:top w:val="single" w:sz="8" w:space="0" w:color="F7CF25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FCEFA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Нормативы 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  потребления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  коммунальной услуги по электроснабжению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 на общедомовые нужды</w:t>
            </w:r>
          </w:p>
        </w:tc>
      </w:tr>
      <w:tr w:rsidR="002117D0" w:rsidRPr="002117D0" w:rsidTr="002117D0">
        <w:trPr>
          <w:trHeight w:val="375"/>
        </w:trPr>
        <w:tc>
          <w:tcPr>
            <w:tcW w:w="908" w:type="dxa"/>
            <w:tcBorders>
              <w:top w:val="outset" w:sz="6" w:space="0" w:color="ECE9D8"/>
              <w:left w:val="single" w:sz="8" w:space="0" w:color="F7CF25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Осветительные установки, являющиеся общим имуществом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многоквартирного дома</w:t>
            </w:r>
          </w:p>
        </w:tc>
        <w:tc>
          <w:tcPr>
            <w:tcW w:w="255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0,75</w:t>
            </w:r>
          </w:p>
        </w:tc>
      </w:tr>
      <w:tr w:rsidR="002117D0" w:rsidRPr="002117D0" w:rsidTr="002117D0">
        <w:trPr>
          <w:trHeight w:val="375"/>
        </w:trPr>
        <w:tc>
          <w:tcPr>
            <w:tcW w:w="908" w:type="dxa"/>
            <w:tcBorders>
              <w:top w:val="outset" w:sz="6" w:space="0" w:color="ECE9D8"/>
              <w:left w:val="single" w:sz="8" w:space="0" w:color="F7CF25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2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Осветительные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установки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силовое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оборудование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лифтов, включая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схемы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управления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сигнализации,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освещение кабин лифтов и лифтовых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шахт,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являющиеся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общим имуществом многоквартирного дома</w:t>
            </w:r>
          </w:p>
        </w:tc>
        <w:tc>
          <w:tcPr>
            <w:tcW w:w="255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1,24</w:t>
            </w:r>
          </w:p>
        </w:tc>
      </w:tr>
      <w:tr w:rsidR="002117D0" w:rsidRPr="002117D0" w:rsidTr="002117D0">
        <w:trPr>
          <w:trHeight w:val="375"/>
        </w:trPr>
        <w:tc>
          <w:tcPr>
            <w:tcW w:w="908" w:type="dxa"/>
            <w:tcBorders>
              <w:top w:val="outset" w:sz="6" w:space="0" w:color="ECE9D8"/>
              <w:left w:val="single" w:sz="8" w:space="0" w:color="F7CF25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62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Осветительные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установки,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силовое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оборудование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лифтов, включая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схемы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управления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сигнализации,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освещение кабин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лифтов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лифтовых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шахт,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системы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противопожарного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оборудования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 </w:t>
            </w:r>
            <w:proofErr w:type="spellStart"/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дымоудаления</w:t>
            </w:r>
            <w:proofErr w:type="spellEnd"/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дверные запирающие устройства, усилители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телеантенн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коллективного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пользования,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насосное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оборудование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холодного и горячего водоснабжения, а также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системы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отопления,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являющиеся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общим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val="en-US" w:eastAsia="ru-RU"/>
              </w:rPr>
              <w:t>      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имуществом</w:t>
            </w: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br/>
              <w:t>многоквартирного дома</w:t>
            </w:r>
          </w:p>
        </w:tc>
        <w:tc>
          <w:tcPr>
            <w:tcW w:w="2551" w:type="dxa"/>
            <w:tcBorders>
              <w:top w:val="outset" w:sz="6" w:space="0" w:color="ECE9D8"/>
              <w:left w:val="outset" w:sz="6" w:space="0" w:color="ECE9D8"/>
              <w:bottom w:val="single" w:sz="8" w:space="0" w:color="F7CF25"/>
              <w:right w:val="single" w:sz="8" w:space="0" w:color="F7CF25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7D0" w:rsidRPr="002117D0" w:rsidRDefault="002117D0" w:rsidP="0021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D0">
              <w:rPr>
                <w:rFonts w:ascii="Arial" w:eastAsia="Times New Roman" w:hAnsi="Arial" w:cs="Arial"/>
                <w:color w:val="404040"/>
                <w:sz w:val="19"/>
                <w:szCs w:val="19"/>
                <w:lang w:eastAsia="ru-RU"/>
              </w:rPr>
              <w:t>2,18</w:t>
            </w:r>
          </w:p>
        </w:tc>
      </w:tr>
    </w:tbl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r w:rsidRPr="002117D0">
        <w:rPr>
          <w:rFonts w:ascii="Arial" w:eastAsia="Times New Roman" w:hAnsi="Arial" w:cs="Arial"/>
          <w:color w:val="403F3F"/>
          <w:sz w:val="19"/>
          <w:szCs w:val="19"/>
          <w:lang w:eastAsia="ru-RU"/>
        </w:rPr>
        <w:t> </w:t>
      </w:r>
    </w:p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r w:rsidRPr="002117D0">
        <w:rPr>
          <w:rFonts w:ascii="Arial" w:eastAsia="Times New Roman" w:hAnsi="Arial" w:cs="Arial"/>
          <w:color w:val="403F3F"/>
          <w:sz w:val="19"/>
          <w:szCs w:val="19"/>
          <w:lang w:eastAsia="ru-RU"/>
        </w:rPr>
        <w:t> </w:t>
      </w:r>
    </w:p>
    <w:p w:rsidR="002117D0" w:rsidRPr="002117D0" w:rsidRDefault="002117D0" w:rsidP="002117D0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403F3F"/>
          <w:sz w:val="19"/>
          <w:szCs w:val="19"/>
          <w:lang w:eastAsia="ru-RU"/>
        </w:rPr>
      </w:pPr>
      <w:r w:rsidRPr="002117D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Примечание.</w:t>
      </w:r>
    </w:p>
    <w:p w:rsidR="002117D0" w:rsidRPr="002117D0" w:rsidRDefault="002117D0" w:rsidP="002117D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403F3F"/>
          <w:sz w:val="24"/>
          <w:szCs w:val="24"/>
          <w:lang w:eastAsia="ru-RU"/>
        </w:rPr>
      </w:pPr>
      <w:r w:rsidRPr="00211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1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расчете платы за коммунальную услугу по электроснабжению на общедомовые нужды учитывается общая площадь помещений, входящих в состав общего имущества в многоквартирном доме, которая определена как суммарная площадь следующих помещений: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  <w:proofErr w:type="gramEnd"/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Вышеуказанные помещения не являются частями квартир многоквартирного дома и предназначены для обслуживания более одного помещения в многоквартирном доме, согласно сведениям, указанным в паспорте многоквартирного дома.</w:t>
      </w:r>
    </w:p>
    <w:p w:rsidR="002117D0" w:rsidRPr="002117D0" w:rsidRDefault="002117D0" w:rsidP="002117D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403F3F"/>
          <w:sz w:val="24"/>
          <w:szCs w:val="24"/>
          <w:lang w:eastAsia="ru-RU"/>
        </w:rPr>
      </w:pPr>
      <w:r w:rsidRPr="002117D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</w:t>
      </w:r>
      <w:r w:rsidRPr="002117D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Величина нормативов потребления коммунальной услуги по электроснабжению на общедомовые нужды многоквартирного дома определяется по трем группам оборудования, которое является общим имуществом многоквартирного дома.</w:t>
      </w:r>
    </w:p>
    <w:p w:rsidR="0092161F" w:rsidRDefault="0092161F"/>
    <w:sectPr w:rsidR="0092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D0"/>
    <w:rsid w:val="002117D0"/>
    <w:rsid w:val="009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2015-03-21T07:29:00Z</dcterms:created>
  <dcterms:modified xsi:type="dcterms:W3CDTF">2015-03-21T07:29:00Z</dcterms:modified>
</cp:coreProperties>
</file>