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33" w:rsidRPr="00317756" w:rsidRDefault="00317756" w:rsidP="00E83C83">
      <w:pPr>
        <w:jc w:val="center"/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17756"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АДМИНИСТРАТИВНЫЕ ПРАВОНАРУШЕНИЯ И МЕРЫ ПРИНЯТЫЕ К ИХ УСТРАНЕНИЮ.</w:t>
      </w:r>
    </w:p>
    <w:tbl>
      <w:tblPr>
        <w:tblStyle w:val="a3"/>
        <w:tblW w:w="110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2127"/>
        <w:gridCol w:w="3260"/>
      </w:tblGrid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83C83">
              <w:rPr>
                <w:sz w:val="28"/>
                <w:szCs w:val="28"/>
              </w:rPr>
              <w:t>п</w:t>
            </w:r>
            <w:proofErr w:type="gramEnd"/>
            <w:r w:rsidRPr="00E83C83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Адрес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Контролирующий орган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Номер и дата постановления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Принятые меры</w:t>
            </w:r>
          </w:p>
        </w:tc>
      </w:tr>
      <w:tr w:rsidR="004830A0" w:rsidTr="00F621ED">
        <w:tc>
          <w:tcPr>
            <w:tcW w:w="11024" w:type="dxa"/>
            <w:gridSpan w:val="5"/>
            <w:shd w:val="pct10" w:color="auto" w:fill="auto"/>
          </w:tcPr>
          <w:p w:rsidR="004830A0" w:rsidRPr="00E83C83" w:rsidRDefault="004830A0" w:rsidP="00E8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4"/>
                <w:szCs w:val="24"/>
              </w:rPr>
            </w:pPr>
            <w:r w:rsidRPr="00E83C83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C770DD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83C83">
              <w:rPr>
                <w:sz w:val="24"/>
                <w:szCs w:val="24"/>
              </w:rPr>
              <w:t>Советская 87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E83C8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  <w:r w:rsidR="00C1503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1-1584/14 от 14.01.2015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E83C8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восстановлено освещение в подвале</w:t>
            </w:r>
            <w:r w:rsidR="00C770DD">
              <w:rPr>
                <w:sz w:val="24"/>
                <w:szCs w:val="24"/>
              </w:rPr>
              <w:t>, теплоизоляция трубопроводов, отремонтирована дверь в подвал.</w:t>
            </w:r>
          </w:p>
        </w:tc>
      </w:tr>
      <w:tr w:rsidR="004830A0" w:rsidTr="008C72D7">
        <w:tc>
          <w:tcPr>
            <w:tcW w:w="11024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2014 год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C770DD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pct10" w:color="auto" w:fill="auto"/>
          </w:tcPr>
          <w:p w:rsidR="00E83C83" w:rsidRDefault="00C770DD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Событий 105б, Ул. </w:t>
            </w:r>
            <w:r w:rsidR="00680641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Декабрьских Событий 103б,</w:t>
            </w:r>
          </w:p>
          <w:p w:rsidR="00C770DD" w:rsidRPr="00E83C83" w:rsidRDefault="00C770DD" w:rsidP="00C770D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Ул. Декабрьских Событий 103г,        Ул. Декабрьских Событий 103д,       </w:t>
            </w:r>
            <w:r w:rsidR="004830A0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Ул. Декабрьских Событий 103,          </w:t>
            </w:r>
            <w:r w:rsidR="004830A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Ул. Советская 65,   </w:t>
            </w:r>
            <w:r w:rsidR="004830A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Ул. Советская 67,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ул. Советская 69,    </w:t>
            </w:r>
            <w:r w:rsidR="00483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ул. Советская 71, 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Ул. Советская 73,    </w:t>
            </w:r>
            <w:r w:rsidR="004830A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ул. Советская 79, 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ул. Советская 81,   </w:t>
            </w:r>
            <w:r w:rsidR="004830A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Ул. Советская 83, 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Ул. Советская 85,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Ул. Советская 87,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Ул. Советская 93, 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ул. Советская 113,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ул. Советская 115, </w:t>
            </w:r>
            <w:r w:rsidR="004830A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ул. Советская 127б,   </w:t>
            </w:r>
            <w:proofErr w:type="gramEnd"/>
          </w:p>
        </w:tc>
        <w:tc>
          <w:tcPr>
            <w:tcW w:w="2410" w:type="dxa"/>
            <w:shd w:val="pct10" w:color="auto" w:fill="auto"/>
          </w:tcPr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C1503D" w:rsidRDefault="00C1503D" w:rsidP="00E83C83">
            <w:pPr>
              <w:rPr>
                <w:sz w:val="24"/>
                <w:szCs w:val="24"/>
              </w:rPr>
            </w:pPr>
          </w:p>
          <w:p w:rsidR="00E83C83" w:rsidRPr="00E83C83" w:rsidRDefault="00C1503D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C1503D" w:rsidRDefault="00C1503D" w:rsidP="00E83C83">
            <w:pPr>
              <w:jc w:val="center"/>
              <w:rPr>
                <w:sz w:val="24"/>
                <w:szCs w:val="24"/>
              </w:rPr>
            </w:pPr>
          </w:p>
          <w:p w:rsidR="00E83C83" w:rsidRPr="00E83C83" w:rsidRDefault="00C1503D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1-252/14 от 19.03.2014г.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C1503D" w:rsidP="00DD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восстановлена электропроводка и электрооборудование в местах общего пользования, произведены ремонты штукатурно молярного слоя подъездов, нанесена антикоррозийная защита на трубопроводы, восстановлены водосточные трубы и </w:t>
            </w:r>
            <w:proofErr w:type="spellStart"/>
            <w:r>
              <w:rPr>
                <w:sz w:val="24"/>
                <w:szCs w:val="24"/>
              </w:rPr>
              <w:t>отметы</w:t>
            </w:r>
            <w:proofErr w:type="spellEnd"/>
            <w:r>
              <w:rPr>
                <w:sz w:val="24"/>
                <w:szCs w:val="24"/>
              </w:rPr>
              <w:t xml:space="preserve"> на них, </w:t>
            </w:r>
            <w:r w:rsidR="00DD5B0E">
              <w:rPr>
                <w:sz w:val="24"/>
                <w:szCs w:val="24"/>
              </w:rPr>
              <w:t xml:space="preserve">произведен ремонт вентиляционных шахт, отремонтирован козырек над подъездом. Не выполненные работы по ремонту </w:t>
            </w:r>
            <w:proofErr w:type="spellStart"/>
            <w:r w:rsidR="00DD5B0E">
              <w:rPr>
                <w:sz w:val="24"/>
                <w:szCs w:val="24"/>
              </w:rPr>
              <w:t>отмостки</w:t>
            </w:r>
            <w:proofErr w:type="spellEnd"/>
            <w:r w:rsidR="00DD5B0E">
              <w:rPr>
                <w:sz w:val="24"/>
                <w:szCs w:val="24"/>
              </w:rPr>
              <w:t xml:space="preserve">, фасадов и подъездов МКД в связи с отсутствием согласования собрания собственников предложены на голосования общим собраниям собственников помещений МКД.  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DD5B0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pct10" w:color="auto" w:fill="auto"/>
          </w:tcPr>
          <w:p w:rsidR="00680641" w:rsidRDefault="004830A0" w:rsidP="00680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</w:t>
            </w:r>
            <w:r w:rsidR="00680641">
              <w:rPr>
                <w:sz w:val="24"/>
                <w:szCs w:val="24"/>
              </w:rPr>
              <w:t>Событий 103б,</w:t>
            </w:r>
          </w:p>
          <w:p w:rsidR="004830A0" w:rsidRDefault="00680641" w:rsidP="00680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Событий 103г,        </w:t>
            </w:r>
          </w:p>
          <w:p w:rsidR="004830A0" w:rsidRDefault="00680641" w:rsidP="00680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Событий 103д,       </w:t>
            </w:r>
          </w:p>
          <w:p w:rsidR="004830A0" w:rsidRDefault="00680641" w:rsidP="00680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Событий 103,        </w:t>
            </w:r>
          </w:p>
          <w:p w:rsidR="00E83C83" w:rsidRPr="00E83C83" w:rsidRDefault="00680641" w:rsidP="00680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Ул. Советская 65,    Ул. Советская 67,   ул. Советская 69,     ул. Советская 71,   Ул. Советская 73,    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68064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1-252/14 от 19.03.2014г.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диагностики газового оборудования предложены на голосования общим собраниям собственников помещений МКД.  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68064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68064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 103б,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68064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№1-307/14 от 26.03.2014г.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произведен ремонт вводно – распределительного устройства.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68064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68064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115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68064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№1/1477/14 от 17.12.2014г.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680641" w:rsidP="00E83C8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Выявленные нарушения устранены: утеплен </w:t>
            </w:r>
            <w:proofErr w:type="spellStart"/>
            <w:r>
              <w:rPr>
                <w:sz w:val="24"/>
                <w:szCs w:val="24"/>
              </w:rPr>
              <w:t>термошов</w:t>
            </w:r>
            <w:proofErr w:type="spellEnd"/>
            <w:r w:rsidR="006955D4">
              <w:rPr>
                <w:sz w:val="24"/>
                <w:szCs w:val="24"/>
              </w:rPr>
              <w:t xml:space="preserve"> МКД, в весенний</w:t>
            </w:r>
            <w:r>
              <w:rPr>
                <w:sz w:val="24"/>
                <w:szCs w:val="24"/>
              </w:rPr>
              <w:t xml:space="preserve"> период 2015г. планируется </w:t>
            </w:r>
            <w:r w:rsidR="006955D4">
              <w:t>покрытие жидкой керамической теплоизоляцией кирпичной стены.</w:t>
            </w:r>
            <w:proofErr w:type="gramEnd"/>
          </w:p>
        </w:tc>
      </w:tr>
      <w:tr w:rsidR="004830A0" w:rsidTr="004E45F6">
        <w:tc>
          <w:tcPr>
            <w:tcW w:w="11024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2013 год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6955D4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6955D4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6955D4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6955D4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№1-286/13 от 24.04.2013г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6955D4" w:rsidP="00695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решением Куйбышевского районного суда на собственника квартиры №23 возложена обязанность предоставления доступа к общедомовым коммуникациям. Канализационный сток заменен силами собственников. </w:t>
            </w:r>
          </w:p>
        </w:tc>
      </w:tr>
      <w:tr w:rsidR="00C770DD" w:rsidTr="00317756">
        <w:tc>
          <w:tcPr>
            <w:tcW w:w="675" w:type="dxa"/>
            <w:shd w:val="pct10" w:color="auto" w:fill="auto"/>
          </w:tcPr>
          <w:p w:rsidR="00E83C83" w:rsidRPr="00E83C83" w:rsidRDefault="006955D4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F23CC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 103а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F23CC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F23CC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№1-669/13 от 10.07.2013г.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F23CC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выполнены работы по ремонту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F23CC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F23CC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F23CC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F23CC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№1-190/13 от 13.03.2013г.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F23CC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частично заменены канализационные трубы в подвале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ешением Куйбышевского районного суда на собственника квартиры №23 возложена обязанность предоставления доступа к общедомовым коммуникациям. Канализационный сток заменен силами собственников.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F23CC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F23CC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2410" w:type="dxa"/>
            <w:shd w:val="pct10" w:color="auto" w:fill="auto"/>
          </w:tcPr>
          <w:p w:rsidR="00E83C83" w:rsidRDefault="00F23CC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  <w:p w:rsidR="00F22466" w:rsidRDefault="00F22466" w:rsidP="00E83C83">
            <w:pPr>
              <w:rPr>
                <w:sz w:val="24"/>
                <w:szCs w:val="24"/>
              </w:rPr>
            </w:pPr>
          </w:p>
          <w:p w:rsidR="00F22466" w:rsidRPr="00E83C83" w:rsidRDefault="00F22466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E83C83" w:rsidRPr="00E83C83" w:rsidRDefault="00F23CC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№1-198/13 от 13.03.2013г.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F2246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Собственникам сделан перерасчет за период отсутствия горячего водоснабжения.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F22466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F22466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Красноказачья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F2246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F22466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ЮЛ/М-0306/13-14 от 20.03.2013г. 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F2246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Выявленное нарушение устранено: собственнику кв. 53 </w:t>
            </w:r>
            <w:r w:rsidR="005E5053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Красноказачья</w:t>
            </w:r>
            <w:proofErr w:type="spellEnd"/>
            <w:r>
              <w:rPr>
                <w:sz w:val="24"/>
                <w:szCs w:val="24"/>
              </w:rPr>
              <w:t xml:space="preserve"> 2 сделан перерасчет по статьям содержание и ремонт жилья.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5E505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5E505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 107а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5E505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по тарифам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5E505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№5-п-13 от 20.02.2013г.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5E505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Выявленное нарушение устранено: собственникам и проживающим МКД  сделан перерасчет по статье отопление.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5E505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5E505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5E505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Мировой судья 120 судебного участка Правобережного округа г. Иркутска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5E505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№5-22/2013 от 28.01.2013</w:t>
            </w:r>
          </w:p>
        </w:tc>
        <w:tc>
          <w:tcPr>
            <w:tcW w:w="3260" w:type="dxa"/>
            <w:shd w:val="pct10" w:color="auto" w:fill="auto"/>
          </w:tcPr>
          <w:p w:rsidR="00E83C83" w:rsidRDefault="005E505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выполнен </w:t>
            </w:r>
            <w:r w:rsidR="00270A4C">
              <w:rPr>
                <w:sz w:val="24"/>
                <w:szCs w:val="24"/>
              </w:rPr>
              <w:t>частичный ремонт кровли.</w:t>
            </w:r>
          </w:p>
          <w:p w:rsidR="004830A0" w:rsidRPr="00E83C83" w:rsidRDefault="004830A0" w:rsidP="00E83C83">
            <w:pPr>
              <w:rPr>
                <w:sz w:val="24"/>
                <w:szCs w:val="24"/>
              </w:rPr>
            </w:pPr>
          </w:p>
        </w:tc>
      </w:tr>
      <w:tr w:rsidR="004830A0" w:rsidTr="00163B6C">
        <w:tc>
          <w:tcPr>
            <w:tcW w:w="11024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 xml:space="preserve">2012 год 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27562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Событий 119</w:t>
            </w:r>
          </w:p>
        </w:tc>
        <w:tc>
          <w:tcPr>
            <w:tcW w:w="2410" w:type="dxa"/>
            <w:shd w:val="pct10" w:color="auto" w:fill="auto"/>
          </w:tcPr>
          <w:p w:rsidR="00275623" w:rsidRDefault="00275623" w:rsidP="0027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  <w:p w:rsidR="00E83C83" w:rsidRPr="00E83C83" w:rsidRDefault="00E83C83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№1-331/12 от 04.07.2012г.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27562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направлена претензия ООО ИГТСК о несоответствии параметров горячей воды требованиям ГОСТ, собственникам МКД предложна реконструкция системы горячего водоснабжения. Собственнику сделан перерасчет</w:t>
            </w:r>
            <w:r w:rsidR="003C11BE">
              <w:rPr>
                <w:sz w:val="24"/>
                <w:szCs w:val="24"/>
              </w:rPr>
              <w:t xml:space="preserve"> по статье «горячее водоснабжение»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27562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Декабрьских С</w:t>
            </w:r>
            <w:bookmarkStart w:id="0" w:name="_GoBack"/>
            <w:bookmarkEnd w:id="0"/>
            <w:r>
              <w:rPr>
                <w:sz w:val="24"/>
                <w:szCs w:val="24"/>
              </w:rPr>
              <w:t>обытий 107б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27562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ЮЛ/М-1691/12-07 от 04.07.2012г.</w:t>
            </w:r>
          </w:p>
        </w:tc>
        <w:tc>
          <w:tcPr>
            <w:tcW w:w="3260" w:type="dxa"/>
            <w:shd w:val="pct10" w:color="auto" w:fill="auto"/>
          </w:tcPr>
          <w:p w:rsidR="004830A0" w:rsidRDefault="00275623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направлена претензия ООО ИГТСК о несоответствии параметров горячей воды требованиям ГОСТ, собственникам МКД предложна реконструкция системы горячего водоснабжения. Собственнику сделан перерасчет</w:t>
            </w:r>
            <w:r w:rsidR="003C11BE">
              <w:rPr>
                <w:sz w:val="24"/>
                <w:szCs w:val="24"/>
              </w:rPr>
              <w:t xml:space="preserve"> по статье </w:t>
            </w:r>
          </w:p>
          <w:p w:rsidR="00E83C83" w:rsidRPr="00E83C83" w:rsidRDefault="003C11BE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«горячее водоснабжение»</w:t>
            </w:r>
            <w:r w:rsidR="00275623">
              <w:rPr>
                <w:sz w:val="24"/>
                <w:szCs w:val="24"/>
              </w:rPr>
              <w:t>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275623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410" w:type="dxa"/>
            <w:shd w:val="pct10" w:color="auto" w:fill="auto"/>
          </w:tcPr>
          <w:p w:rsidR="00275623" w:rsidRDefault="00275623" w:rsidP="0027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  <w:p w:rsidR="00E83C83" w:rsidRPr="00E83C83" w:rsidRDefault="00E83C83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E83C83" w:rsidRPr="00E83C83" w:rsidRDefault="0027562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№1-565/12 от 24.10.2012г.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A316C2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восстановлена теплоизоляция на трубопроводах в чердачном помещении, вытяжные каналы канализации выведены за кровлю, произведен ремонт слуховых окон. Работы по ремонту подъездов предложены собственникам МКД на голосование.</w:t>
            </w:r>
          </w:p>
        </w:tc>
      </w:tr>
      <w:tr w:rsidR="00E83C83" w:rsidTr="00317756">
        <w:tc>
          <w:tcPr>
            <w:tcW w:w="675" w:type="dxa"/>
            <w:shd w:val="pct10" w:color="auto" w:fill="auto"/>
          </w:tcPr>
          <w:p w:rsidR="00E83C83" w:rsidRPr="00E83C83" w:rsidRDefault="00A316C2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pct10" w:color="auto" w:fill="auto"/>
          </w:tcPr>
          <w:p w:rsidR="00E83C83" w:rsidRPr="00E83C83" w:rsidRDefault="0018121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фонд ООО Приоритет (</w:t>
            </w:r>
            <w:r w:rsidR="00A316C2">
              <w:rPr>
                <w:sz w:val="24"/>
                <w:szCs w:val="24"/>
              </w:rPr>
              <w:t>Трудовое законодательство</w:t>
            </w:r>
            <w:r>
              <w:rPr>
                <w:sz w:val="24"/>
                <w:szCs w:val="24"/>
              </w:rPr>
              <w:t>)</w:t>
            </w:r>
            <w:r w:rsidR="00A316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A316C2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инспекция труда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E83C83" w:rsidRPr="00E83C83" w:rsidRDefault="00A316C2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№1125/2012/63/5 от 23.11.2012г.</w:t>
            </w:r>
          </w:p>
        </w:tc>
        <w:tc>
          <w:tcPr>
            <w:tcW w:w="3260" w:type="dxa"/>
            <w:shd w:val="pct10" w:color="auto" w:fill="auto"/>
          </w:tcPr>
          <w:p w:rsidR="00E83C83" w:rsidRPr="00E83C83" w:rsidRDefault="00A316C2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руководитель организации в установленном порядке прошел обучение и проверку знаний по охране труда, разработаны должностные обязанности по охране труда, проведена аттестация рабочих мест, определен контингент работников имеющих право на бесплатное обеспечение одеждой, Организовано проведение профилактических медицинских осмотров.</w:t>
            </w:r>
          </w:p>
        </w:tc>
      </w:tr>
      <w:tr w:rsidR="004830A0" w:rsidTr="00F211D7">
        <w:tc>
          <w:tcPr>
            <w:tcW w:w="11024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2011 год</w:t>
            </w:r>
          </w:p>
        </w:tc>
      </w:tr>
      <w:tr w:rsidR="00A316C2" w:rsidTr="00317756">
        <w:tc>
          <w:tcPr>
            <w:tcW w:w="675" w:type="dxa"/>
            <w:shd w:val="pct10" w:color="auto" w:fill="auto"/>
          </w:tcPr>
          <w:p w:rsidR="00A316C2" w:rsidRPr="00E83C83" w:rsidRDefault="00A316C2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pct10" w:color="auto" w:fill="auto"/>
          </w:tcPr>
          <w:p w:rsidR="00A316C2" w:rsidRPr="00E83C83" w:rsidRDefault="0018121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фонд ООО Приоритет (Правила эксплуатации энергопотребляющих установок)</w:t>
            </w:r>
          </w:p>
        </w:tc>
        <w:tc>
          <w:tcPr>
            <w:tcW w:w="2410" w:type="dxa"/>
            <w:shd w:val="pct10" w:color="auto" w:fill="auto"/>
          </w:tcPr>
          <w:p w:rsidR="00A316C2" w:rsidRPr="00E83C83" w:rsidRDefault="0018121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2127" w:type="dxa"/>
            <w:shd w:val="pct10" w:color="auto" w:fill="auto"/>
          </w:tcPr>
          <w:p w:rsidR="00A316C2" w:rsidRPr="00E83C83" w:rsidRDefault="0018121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№14-55/11/</w:t>
            </w:r>
            <w:proofErr w:type="spellStart"/>
            <w:proofErr w:type="gramStart"/>
            <w:r>
              <w:rPr>
                <w:sz w:val="24"/>
                <w:szCs w:val="24"/>
              </w:rPr>
              <w:t>фл</w:t>
            </w:r>
            <w:proofErr w:type="spellEnd"/>
            <w:r>
              <w:rPr>
                <w:sz w:val="24"/>
                <w:szCs w:val="24"/>
              </w:rPr>
              <w:t xml:space="preserve"> от</w:t>
            </w:r>
            <w:proofErr w:type="gramEnd"/>
            <w:r>
              <w:rPr>
                <w:sz w:val="24"/>
                <w:szCs w:val="24"/>
              </w:rPr>
              <w:t xml:space="preserve"> 23.06.2011г.</w:t>
            </w:r>
          </w:p>
        </w:tc>
        <w:tc>
          <w:tcPr>
            <w:tcW w:w="3260" w:type="dxa"/>
            <w:shd w:val="pct10" w:color="auto" w:fill="auto"/>
          </w:tcPr>
          <w:p w:rsidR="00A316C2" w:rsidRPr="00E83C83" w:rsidRDefault="0018121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оформлены наряды на проведение работ, с персоналом обслуживающим тепловые </w:t>
            </w:r>
            <w:proofErr w:type="spellStart"/>
            <w:r>
              <w:rPr>
                <w:sz w:val="24"/>
                <w:szCs w:val="24"/>
              </w:rPr>
              <w:t>энергоустанвки</w:t>
            </w:r>
            <w:proofErr w:type="spellEnd"/>
            <w:r>
              <w:rPr>
                <w:sz w:val="24"/>
                <w:szCs w:val="24"/>
              </w:rPr>
              <w:t xml:space="preserve"> проведены противопожарные тренировки.</w:t>
            </w:r>
          </w:p>
        </w:tc>
      </w:tr>
      <w:tr w:rsidR="00A316C2" w:rsidTr="00317756">
        <w:tc>
          <w:tcPr>
            <w:tcW w:w="675" w:type="dxa"/>
            <w:shd w:val="pct10" w:color="auto" w:fill="auto"/>
          </w:tcPr>
          <w:p w:rsidR="00A316C2" w:rsidRPr="00E83C83" w:rsidRDefault="0018121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pct10" w:color="auto" w:fill="auto"/>
          </w:tcPr>
          <w:p w:rsidR="00A316C2" w:rsidRPr="00E83C83" w:rsidRDefault="0018121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Декабрьских событий 105б,           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20 а,        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410" w:type="dxa"/>
            <w:shd w:val="pct10" w:color="auto" w:fill="auto"/>
          </w:tcPr>
          <w:p w:rsidR="00A316C2" w:rsidRPr="00E83C83" w:rsidRDefault="0018121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Мировой судья судебного участка №10 Правобережного округа г. Иркутска</w:t>
            </w:r>
          </w:p>
        </w:tc>
        <w:tc>
          <w:tcPr>
            <w:tcW w:w="2127" w:type="dxa"/>
            <w:shd w:val="pct10" w:color="auto" w:fill="auto"/>
          </w:tcPr>
          <w:p w:rsidR="00A316C2" w:rsidRPr="00E83C83" w:rsidRDefault="0018121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№5-60/2011 от 10.02.2011г.</w:t>
            </w:r>
          </w:p>
        </w:tc>
        <w:tc>
          <w:tcPr>
            <w:tcW w:w="3260" w:type="dxa"/>
            <w:shd w:val="pct10" w:color="auto" w:fill="auto"/>
          </w:tcPr>
          <w:p w:rsidR="00A316C2" w:rsidRPr="00E83C83" w:rsidRDefault="0018121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</w:t>
            </w:r>
            <w:r w:rsidR="003C11BE">
              <w:rPr>
                <w:sz w:val="24"/>
                <w:szCs w:val="24"/>
              </w:rPr>
              <w:t>арушения устранены: слесарные ма</w:t>
            </w:r>
            <w:r>
              <w:rPr>
                <w:sz w:val="24"/>
                <w:szCs w:val="24"/>
              </w:rPr>
              <w:t>стерские</w:t>
            </w:r>
            <w:r w:rsidR="003C11BE">
              <w:rPr>
                <w:sz w:val="24"/>
                <w:szCs w:val="24"/>
              </w:rPr>
              <w:t xml:space="preserve"> оборудованы в соответствии с т</w:t>
            </w:r>
            <w:r>
              <w:rPr>
                <w:sz w:val="24"/>
                <w:szCs w:val="24"/>
              </w:rPr>
              <w:t xml:space="preserve">ребованиями </w:t>
            </w:r>
            <w:r w:rsidR="003C11BE">
              <w:rPr>
                <w:sz w:val="24"/>
                <w:szCs w:val="24"/>
              </w:rPr>
              <w:t>пожарной безопасности.</w:t>
            </w:r>
          </w:p>
        </w:tc>
      </w:tr>
      <w:tr w:rsidR="004830A0" w:rsidTr="00B40B37">
        <w:tc>
          <w:tcPr>
            <w:tcW w:w="11024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2010 год</w:t>
            </w:r>
          </w:p>
        </w:tc>
      </w:tr>
      <w:tr w:rsidR="00A316C2" w:rsidTr="00317756">
        <w:tc>
          <w:tcPr>
            <w:tcW w:w="675" w:type="dxa"/>
            <w:shd w:val="pct10" w:color="auto" w:fill="auto"/>
          </w:tcPr>
          <w:p w:rsidR="00A316C2" w:rsidRPr="00E83C83" w:rsidRDefault="003C11B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pct10" w:color="auto" w:fill="auto"/>
          </w:tcPr>
          <w:p w:rsidR="00A316C2" w:rsidRPr="00E83C83" w:rsidRDefault="003C11BE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93</w:t>
            </w:r>
          </w:p>
        </w:tc>
        <w:tc>
          <w:tcPr>
            <w:tcW w:w="2410" w:type="dxa"/>
            <w:shd w:val="pct10" w:color="auto" w:fill="auto"/>
          </w:tcPr>
          <w:p w:rsidR="003C11BE" w:rsidRDefault="003C11BE" w:rsidP="003C1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государственного жилищного контроля и строительного </w:t>
            </w:r>
            <w:r>
              <w:rPr>
                <w:sz w:val="24"/>
                <w:szCs w:val="24"/>
              </w:rPr>
              <w:lastRenderedPageBreak/>
              <w:t>надзора Иркутской области</w:t>
            </w:r>
          </w:p>
          <w:p w:rsidR="00A316C2" w:rsidRPr="00E83C83" w:rsidRDefault="00A316C2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A316C2" w:rsidRPr="00E83C83" w:rsidRDefault="003C11B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№1-3/10 от 13.01.2010г.</w:t>
            </w:r>
          </w:p>
        </w:tc>
        <w:tc>
          <w:tcPr>
            <w:tcW w:w="3260" w:type="dxa"/>
            <w:shd w:val="pct10" w:color="auto" w:fill="auto"/>
          </w:tcPr>
          <w:p w:rsidR="00A316C2" w:rsidRPr="00E83C83" w:rsidRDefault="003C11BE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направлена претензия ООО ИГТСК о несоответствии параметров </w:t>
            </w:r>
            <w:r>
              <w:rPr>
                <w:sz w:val="24"/>
                <w:szCs w:val="24"/>
              </w:rPr>
              <w:lastRenderedPageBreak/>
              <w:t>теплоносителя требованиям ГОСТ. В подъезде №1 установлены тамбурные двери.</w:t>
            </w:r>
          </w:p>
        </w:tc>
      </w:tr>
      <w:tr w:rsidR="00A316C2" w:rsidTr="00317756">
        <w:tc>
          <w:tcPr>
            <w:tcW w:w="675" w:type="dxa"/>
            <w:shd w:val="pct10" w:color="auto" w:fill="auto"/>
          </w:tcPr>
          <w:p w:rsidR="00A316C2" w:rsidRPr="00E83C83" w:rsidRDefault="003C11B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shd w:val="pct10" w:color="auto" w:fill="auto"/>
          </w:tcPr>
          <w:p w:rsidR="00A316C2" w:rsidRPr="00E83C83" w:rsidRDefault="003C11BE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Поленова 27</w:t>
            </w:r>
          </w:p>
        </w:tc>
        <w:tc>
          <w:tcPr>
            <w:tcW w:w="2410" w:type="dxa"/>
            <w:shd w:val="pct10" w:color="auto" w:fill="auto"/>
          </w:tcPr>
          <w:p w:rsidR="003C11BE" w:rsidRDefault="003C11BE" w:rsidP="003C1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контроля и строительного надзора Иркутской области</w:t>
            </w:r>
          </w:p>
          <w:p w:rsidR="00A316C2" w:rsidRPr="00E83C83" w:rsidRDefault="00A316C2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A316C2" w:rsidRPr="00E83C83" w:rsidRDefault="003C11B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№1-4/10 от 13.01.2010г.</w:t>
            </w:r>
          </w:p>
        </w:tc>
        <w:tc>
          <w:tcPr>
            <w:tcW w:w="3260" w:type="dxa"/>
            <w:shd w:val="pct10" w:color="auto" w:fill="auto"/>
          </w:tcPr>
          <w:p w:rsidR="00A316C2" w:rsidRDefault="003C11BE" w:rsidP="003C1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направлена претензия ООО ИГТСК о несоответствии параметров горячей воды требованиям ГОСТ. Собственнику сделан перерасчет по статье «горячее водоснабжение».</w:t>
            </w:r>
          </w:p>
          <w:p w:rsidR="008B7018" w:rsidRDefault="008B7018" w:rsidP="003C11BE">
            <w:pPr>
              <w:rPr>
                <w:sz w:val="24"/>
                <w:szCs w:val="24"/>
              </w:rPr>
            </w:pPr>
          </w:p>
          <w:p w:rsidR="008B7018" w:rsidRDefault="008B7018" w:rsidP="003C11BE">
            <w:pPr>
              <w:rPr>
                <w:sz w:val="24"/>
                <w:szCs w:val="24"/>
              </w:rPr>
            </w:pPr>
          </w:p>
          <w:p w:rsidR="008B7018" w:rsidRPr="00E83C83" w:rsidRDefault="008B7018" w:rsidP="003C11BE">
            <w:pPr>
              <w:rPr>
                <w:sz w:val="24"/>
                <w:szCs w:val="24"/>
              </w:rPr>
            </w:pPr>
          </w:p>
        </w:tc>
      </w:tr>
      <w:tr w:rsidR="003C11BE" w:rsidTr="00317756">
        <w:tc>
          <w:tcPr>
            <w:tcW w:w="675" w:type="dxa"/>
            <w:shd w:val="pct10" w:color="auto" w:fill="auto"/>
          </w:tcPr>
          <w:p w:rsidR="003C11BE" w:rsidRPr="00E83C83" w:rsidRDefault="003C11BE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pct10" w:color="auto" w:fill="auto"/>
          </w:tcPr>
          <w:p w:rsidR="003C11BE" w:rsidRPr="00E83C83" w:rsidRDefault="008B7018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87</w:t>
            </w:r>
          </w:p>
        </w:tc>
        <w:tc>
          <w:tcPr>
            <w:tcW w:w="2410" w:type="dxa"/>
            <w:shd w:val="pct10" w:color="auto" w:fill="auto"/>
          </w:tcPr>
          <w:p w:rsidR="008B7018" w:rsidRDefault="008B7018" w:rsidP="008B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контроля и строительного надзора Иркутской области</w:t>
            </w:r>
          </w:p>
          <w:p w:rsidR="003C11BE" w:rsidRPr="00E83C83" w:rsidRDefault="003C11BE" w:rsidP="00E83C8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pct10" w:color="auto" w:fill="auto"/>
          </w:tcPr>
          <w:p w:rsidR="003C11BE" w:rsidRPr="00E83C83" w:rsidRDefault="008B7018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№1-239/10 от 23.06.2010</w:t>
            </w:r>
          </w:p>
        </w:tc>
        <w:tc>
          <w:tcPr>
            <w:tcW w:w="3260" w:type="dxa"/>
            <w:shd w:val="pct10" w:color="auto" w:fill="auto"/>
          </w:tcPr>
          <w:p w:rsidR="003C11BE" w:rsidRPr="00E83C83" w:rsidRDefault="008B7018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произведен ремонт труб канализации, заменена запорная арматура, нанесена жидкая керамическая теплоизоляция на трубопроводы</w:t>
            </w:r>
          </w:p>
        </w:tc>
      </w:tr>
      <w:tr w:rsidR="003C11BE" w:rsidTr="00317756">
        <w:tc>
          <w:tcPr>
            <w:tcW w:w="675" w:type="dxa"/>
            <w:shd w:val="pct10" w:color="auto" w:fill="auto"/>
          </w:tcPr>
          <w:p w:rsidR="003C11BE" w:rsidRPr="00E83C83" w:rsidRDefault="008B7018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pct10" w:color="auto" w:fill="auto"/>
          </w:tcPr>
          <w:p w:rsidR="003C11BE" w:rsidRPr="00E83C83" w:rsidRDefault="008B7018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Красноказачья</w:t>
            </w:r>
            <w:proofErr w:type="spellEnd"/>
            <w:r>
              <w:rPr>
                <w:sz w:val="24"/>
                <w:szCs w:val="24"/>
              </w:rPr>
              <w:t xml:space="preserve"> 2, ул. Декабрьских Событий 105б,           ул. </w:t>
            </w:r>
            <w:proofErr w:type="spellStart"/>
            <w:r>
              <w:rPr>
                <w:sz w:val="24"/>
                <w:szCs w:val="24"/>
              </w:rPr>
              <w:t>Лызина</w:t>
            </w:r>
            <w:proofErr w:type="spellEnd"/>
            <w:r>
              <w:rPr>
                <w:sz w:val="24"/>
                <w:szCs w:val="24"/>
              </w:rPr>
              <w:t xml:space="preserve"> 20а,   </w:t>
            </w:r>
            <w:r w:rsidR="00D0689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ул. </w:t>
            </w:r>
            <w:proofErr w:type="spellStart"/>
            <w:r w:rsidR="00D06891">
              <w:rPr>
                <w:sz w:val="24"/>
                <w:szCs w:val="24"/>
              </w:rPr>
              <w:t>Лызина</w:t>
            </w:r>
            <w:proofErr w:type="spellEnd"/>
            <w:r w:rsidR="00D06891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410" w:type="dxa"/>
            <w:shd w:val="pct10" w:color="auto" w:fill="auto"/>
          </w:tcPr>
          <w:p w:rsidR="003C11BE" w:rsidRPr="00E83C83" w:rsidRDefault="00D0689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надзор Отдел надзорной деятельности</w:t>
            </w:r>
          </w:p>
        </w:tc>
        <w:tc>
          <w:tcPr>
            <w:tcW w:w="2127" w:type="dxa"/>
            <w:shd w:val="pct10" w:color="auto" w:fill="auto"/>
          </w:tcPr>
          <w:p w:rsidR="003C11BE" w:rsidRPr="00E83C83" w:rsidRDefault="00D0689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№2-15-766-ПР от 30.12.2010г.</w:t>
            </w:r>
          </w:p>
        </w:tc>
        <w:tc>
          <w:tcPr>
            <w:tcW w:w="3260" w:type="dxa"/>
            <w:shd w:val="pct10" w:color="auto" w:fill="auto"/>
          </w:tcPr>
          <w:p w:rsidR="003C11BE" w:rsidRPr="00E83C83" w:rsidRDefault="00D0689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решетка на лестничной клетке демонтирована, </w:t>
            </w:r>
            <w:proofErr w:type="gramStart"/>
            <w:r>
              <w:rPr>
                <w:sz w:val="24"/>
                <w:szCs w:val="24"/>
              </w:rPr>
              <w:t>мастерские</w:t>
            </w:r>
            <w:proofErr w:type="gramEnd"/>
            <w:r>
              <w:rPr>
                <w:sz w:val="24"/>
                <w:szCs w:val="24"/>
              </w:rPr>
              <w:t xml:space="preserve"> размещенные в подвальных этажах жилых домов изолированы от общего входа в подъезд. </w:t>
            </w:r>
          </w:p>
        </w:tc>
      </w:tr>
      <w:tr w:rsidR="003C11BE" w:rsidTr="00317756">
        <w:tc>
          <w:tcPr>
            <w:tcW w:w="675" w:type="dxa"/>
            <w:shd w:val="pct10" w:color="auto" w:fill="auto"/>
          </w:tcPr>
          <w:p w:rsidR="003C11BE" w:rsidRPr="00E83C83" w:rsidRDefault="00D0689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pct10" w:color="auto" w:fill="auto"/>
          </w:tcPr>
          <w:p w:rsidR="003C11BE" w:rsidRPr="00E83C83" w:rsidRDefault="00D06891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фонд ООО Приоритет (трудовое законодательство)</w:t>
            </w:r>
          </w:p>
        </w:tc>
        <w:tc>
          <w:tcPr>
            <w:tcW w:w="2410" w:type="dxa"/>
            <w:shd w:val="pct10" w:color="auto" w:fill="auto"/>
          </w:tcPr>
          <w:p w:rsidR="003C11BE" w:rsidRPr="00E83C83" w:rsidRDefault="00D0689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инспекция труда в Иркутской области</w:t>
            </w:r>
          </w:p>
        </w:tc>
        <w:tc>
          <w:tcPr>
            <w:tcW w:w="2127" w:type="dxa"/>
            <w:shd w:val="pct10" w:color="auto" w:fill="auto"/>
          </w:tcPr>
          <w:p w:rsidR="003C11BE" w:rsidRPr="00E83C83" w:rsidRDefault="00D06891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№35В/5 от 22.04.2010г.</w:t>
            </w:r>
          </w:p>
        </w:tc>
        <w:tc>
          <w:tcPr>
            <w:tcW w:w="3260" w:type="dxa"/>
            <w:shd w:val="pct10" w:color="auto" w:fill="auto"/>
          </w:tcPr>
          <w:p w:rsidR="003C11BE" w:rsidRPr="00E83C83" w:rsidRDefault="00D06891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руководитель организации в установленном порядке прошел обучение и проверку знаний по охране труда, проведен вводный инструктаж, создана постояннодействующая экзаменационная комиссии по охране труда. </w:t>
            </w:r>
          </w:p>
        </w:tc>
      </w:tr>
    </w:tbl>
    <w:p w:rsidR="00E83C83" w:rsidRPr="00E83C83" w:rsidRDefault="00E83C83" w:rsidP="00E83C83">
      <w:pPr>
        <w:jc w:val="center"/>
        <w:rPr>
          <w:sz w:val="36"/>
          <w:szCs w:val="36"/>
        </w:rPr>
      </w:pPr>
    </w:p>
    <w:sectPr w:rsidR="00E83C83" w:rsidRPr="00E83C83" w:rsidSect="004830A0">
      <w:pgSz w:w="11906" w:h="16838"/>
      <w:pgMar w:top="568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3"/>
    <w:rsid w:val="00181211"/>
    <w:rsid w:val="00270A4C"/>
    <w:rsid w:val="00275623"/>
    <w:rsid w:val="00317756"/>
    <w:rsid w:val="003C11BE"/>
    <w:rsid w:val="004830A0"/>
    <w:rsid w:val="005E5053"/>
    <w:rsid w:val="00680641"/>
    <w:rsid w:val="006955D4"/>
    <w:rsid w:val="008B7018"/>
    <w:rsid w:val="00A316C2"/>
    <w:rsid w:val="00A37F33"/>
    <w:rsid w:val="00C1503D"/>
    <w:rsid w:val="00C770DD"/>
    <w:rsid w:val="00D06891"/>
    <w:rsid w:val="00DD5B0E"/>
    <w:rsid w:val="00E83C83"/>
    <w:rsid w:val="00F22466"/>
    <w:rsid w:val="00F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2015-04-03T05:36:00Z</cp:lastPrinted>
  <dcterms:created xsi:type="dcterms:W3CDTF">2015-04-03T05:58:00Z</dcterms:created>
  <dcterms:modified xsi:type="dcterms:W3CDTF">2015-04-03T05:58:00Z</dcterms:modified>
</cp:coreProperties>
</file>