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B8632D">
        <w:rPr>
          <w:b/>
          <w:sz w:val="22"/>
          <w:szCs w:val="22"/>
        </w:rPr>
        <w:t>ОГОВОР №_______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</w:t>
      </w:r>
      <w:r w:rsidR="00FC5DE8">
        <w:rPr>
          <w:b/>
          <w:sz w:val="22"/>
          <w:szCs w:val="22"/>
        </w:rPr>
        <w:t>Советская</w:t>
      </w:r>
      <w:r>
        <w:rPr>
          <w:b/>
          <w:sz w:val="22"/>
          <w:szCs w:val="22"/>
        </w:rPr>
        <w:t xml:space="preserve">, д. </w:t>
      </w:r>
      <w:r w:rsidR="00F176A3">
        <w:rPr>
          <w:b/>
          <w:sz w:val="22"/>
          <w:szCs w:val="22"/>
        </w:rPr>
        <w:t>128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="00FC5DE8">
        <w:rPr>
          <w:sz w:val="22"/>
          <w:szCs w:val="22"/>
        </w:rPr>
        <w:t>Советская</w:t>
      </w:r>
      <w:r>
        <w:rPr>
          <w:sz w:val="22"/>
          <w:szCs w:val="22"/>
        </w:rPr>
        <w:t xml:space="preserve">, д. </w:t>
      </w:r>
      <w:r w:rsidR="00FC5DE8">
        <w:rPr>
          <w:sz w:val="22"/>
          <w:szCs w:val="22"/>
        </w:rPr>
        <w:t>12</w:t>
      </w:r>
      <w:r w:rsidR="00F176A3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61490E" w:rsidRPr="00A11638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A11638">
        <w:rPr>
          <w:sz w:val="22"/>
          <w:szCs w:val="22"/>
        </w:rPr>
        <w:t>Верхняя Набережная, д. 161/15.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A11638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55491">
        <w:rPr>
          <w:sz w:val="22"/>
          <w:szCs w:val="22"/>
        </w:rPr>
        <w:t>13,50</w:t>
      </w:r>
      <w:r w:rsidRPr="006C7ED0">
        <w:rPr>
          <w:sz w:val="22"/>
          <w:szCs w:val="22"/>
        </w:rPr>
        <w:t xml:space="preserve"> руб./кв.м.</w:t>
      </w:r>
    </w:p>
    <w:p w:rsidR="00A55491" w:rsidRPr="006C7ED0" w:rsidRDefault="00A55491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3,50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694662">
        <w:rPr>
          <w:sz w:val="22"/>
          <w:szCs w:val="22"/>
        </w:rPr>
        <w:t>58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A11638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A11638">
              <w:rPr>
                <w:sz w:val="22"/>
                <w:szCs w:val="22"/>
              </w:rPr>
              <w:t xml:space="preserve">Верхняя Набережная, </w:t>
            </w:r>
          </w:p>
          <w:p w:rsidR="0061490E" w:rsidRDefault="00A11638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161/15</w:t>
            </w:r>
          </w:p>
          <w:p w:rsidR="00A11638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A11638">
              <w:rPr>
                <w:sz w:val="22"/>
                <w:szCs w:val="22"/>
              </w:rPr>
              <w:t>41-70-18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A11638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A11638">
        <w:rPr>
          <w:b/>
          <w:sz w:val="20"/>
          <w:szCs w:val="20"/>
        </w:rPr>
        <w:t>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D3" w:rsidRDefault="009044D3" w:rsidP="003A34B5">
      <w:r>
        <w:separator/>
      </w:r>
    </w:p>
  </w:endnote>
  <w:endnote w:type="continuationSeparator" w:id="0">
    <w:p w:rsidR="009044D3" w:rsidRDefault="009044D3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D3" w:rsidRDefault="009044D3" w:rsidP="003A34B5">
      <w:r>
        <w:separator/>
      </w:r>
    </w:p>
  </w:footnote>
  <w:footnote w:type="continuationSeparator" w:id="0">
    <w:p w:rsidR="009044D3" w:rsidRDefault="009044D3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EDB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EF4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36C9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0D3A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1E62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E3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D37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27C7"/>
    <w:rsid w:val="009039D4"/>
    <w:rsid w:val="00904437"/>
    <w:rsid w:val="009044D3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1638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159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491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4EAE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632D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5E36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660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133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4FCB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90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C7F36"/>
    <w:rsid w:val="00ED0C07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6A3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DE8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D1471-A10C-424E-9D6F-81AB0E20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FA1E-28D5-4378-9F2F-0B8E4BFC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37211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2024-04-27T02:49:00Z</dcterms:created>
  <dcterms:modified xsi:type="dcterms:W3CDTF">2025-02-25T08:28:00Z</dcterms:modified>
</cp:coreProperties>
</file>