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 ,</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г. Иркутск, ул. Байкальская,</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3.2.3  </w:t>
      </w:r>
      <w:r w:rsidRPr="004777D7">
        <w:rPr>
          <w:rFonts w:ascii="Times New Roman" w:eastAsia="Times New Roman" w:hAnsi="Times New Roman" w:cs="Times New Roman"/>
          <w:spacing w:val="10"/>
          <w:sz w:val="22"/>
          <w:szCs w:val="22"/>
        </w:rPr>
        <w:t xml:space="preserve">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r w:rsidR="002C10E2"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4.2.3 </w:t>
      </w:r>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5.ПОРЯДОК ОСУЩЕСТВЛЕНИЯ КОНТРОЛЯ ЗА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r w:rsidRPr="000447DE">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r w:rsidRPr="000447DE">
        <w:rPr>
          <w:rFonts w:ascii="Times New Roman" w:eastAsia="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r w:rsidRPr="000447DE">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ИНН 3808132067 р/с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8"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AF72D7" w:rsidRPr="00EE76CF" w:rsidRDefault="00AF72D7" w:rsidP="00AF72D7">
      <w:pPr>
        <w:widowControl/>
        <w:rPr>
          <w:rFonts w:ascii="Times New Roman" w:eastAsia="Times New Roman" w:hAnsi="Times New Roman" w:cs="Times New Roman"/>
          <w:b/>
          <w:bCs/>
          <w:color w:val="auto"/>
          <w:sz w:val="18"/>
          <w:szCs w:val="18"/>
        </w:rPr>
      </w:pPr>
      <w:r w:rsidRPr="00EE76CF">
        <w:rPr>
          <w:rFonts w:ascii="Times New Roman" w:eastAsia="Times New Roman" w:hAnsi="Times New Roman" w:cs="Times New Roman"/>
          <w:b/>
          <w:bCs/>
          <w:color w:val="auto"/>
          <w:sz w:val="18"/>
          <w:szCs w:val="18"/>
        </w:rPr>
        <w:t xml:space="preserve">Приложение № 1 к Договору управления многоквартирным домом </w:t>
      </w:r>
    </w:p>
    <w:p w:rsidR="00AF72D7" w:rsidRPr="00EE76CF" w:rsidRDefault="00AF72D7" w:rsidP="00AF72D7">
      <w:pPr>
        <w:widowControl/>
        <w:spacing w:line="276" w:lineRule="auto"/>
        <w:rPr>
          <w:rFonts w:ascii="Times New Roman" w:eastAsiaTheme="minorEastAsia" w:hAnsi="Times New Roman" w:cs="Times New Roman"/>
          <w:b/>
          <w:color w:val="auto"/>
          <w:sz w:val="18"/>
          <w:szCs w:val="18"/>
        </w:rPr>
      </w:pPr>
      <w:r w:rsidRPr="00EE76CF">
        <w:rPr>
          <w:rFonts w:ascii="Times New Roman" w:eastAsia="Times New Roman" w:hAnsi="Times New Roman" w:cs="Times New Roman"/>
          <w:b/>
          <w:color w:val="auto"/>
          <w:sz w:val="18"/>
          <w:szCs w:val="18"/>
        </w:rPr>
        <w:t xml:space="preserve">Состав и характеристики  общего имущества многоквартирного дома, </w:t>
      </w:r>
      <w:r w:rsidRPr="00EE76CF">
        <w:rPr>
          <w:rFonts w:ascii="Times New Roman" w:eastAsiaTheme="minorEastAsia" w:hAnsi="Times New Roman" w:cs="Times New Roman"/>
          <w:b/>
          <w:color w:val="auto"/>
          <w:sz w:val="18"/>
          <w:szCs w:val="18"/>
        </w:rPr>
        <w:t xml:space="preserve"> расположенного по адресу: </w:t>
      </w:r>
    </w:p>
    <w:p w:rsidR="00AF72D7" w:rsidRPr="00EE76CF" w:rsidRDefault="00AF72D7" w:rsidP="00AF72D7">
      <w:pPr>
        <w:widowControl/>
        <w:jc w:val="center"/>
        <w:rPr>
          <w:rFonts w:ascii="Times New Roman" w:eastAsia="Times New Roman" w:hAnsi="Times New Roman" w:cs="Times New Roman"/>
          <w:b/>
          <w:caps/>
          <w:color w:val="auto"/>
          <w:sz w:val="18"/>
          <w:szCs w:val="18"/>
        </w:rPr>
      </w:pPr>
      <w:r w:rsidRPr="00EE76CF">
        <w:rPr>
          <w:rFonts w:ascii="Times New Roman" w:eastAsia="Times New Roman" w:hAnsi="Times New Roman" w:cs="Times New Roman"/>
          <w:b/>
          <w:caps/>
          <w:color w:val="auto"/>
          <w:sz w:val="18"/>
          <w:szCs w:val="18"/>
        </w:rPr>
        <w:t>Состав общего имущества в многоквартирном доме</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система вентиляции, вентиляционные каналы и вытяжки;</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AF72D7" w:rsidRPr="00EE76CF" w:rsidRDefault="00AF72D7" w:rsidP="00AF72D7">
      <w:pPr>
        <w:widowControl/>
        <w:ind w:firstLine="708"/>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AF72D7" w:rsidRPr="00EE76CF" w:rsidRDefault="00AF72D7" w:rsidP="00AF72D7">
      <w:pPr>
        <w:widowControl/>
        <w:jc w:val="both"/>
        <w:rPr>
          <w:rFonts w:ascii="Times New Roman" w:eastAsia="Times New Roman" w:hAnsi="Times New Roman" w:cs="Times New Roman"/>
          <w:color w:val="auto"/>
          <w:sz w:val="22"/>
          <w:szCs w:val="22"/>
        </w:rPr>
      </w:pPr>
      <w:r w:rsidRPr="00EE76CF">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AF72D7" w:rsidRPr="00EE76CF" w:rsidRDefault="00AF72D7" w:rsidP="00AF72D7">
      <w:pPr>
        <w:widowControl/>
        <w:jc w:val="center"/>
        <w:rPr>
          <w:rFonts w:ascii="Times New Roman" w:eastAsia="Times New Roman" w:hAnsi="Times New Roman" w:cs="Times New Roman"/>
          <w:b/>
          <w:color w:val="FF0000"/>
          <w:sz w:val="18"/>
          <w:szCs w:val="18"/>
        </w:rPr>
      </w:pPr>
      <w:r w:rsidRPr="00EE76CF">
        <w:rPr>
          <w:rFonts w:ascii="Times New Roman" w:eastAsia="Times New Roman" w:hAnsi="Times New Roman" w:cs="Times New Roman"/>
          <w:b/>
          <w:color w:val="auto"/>
          <w:sz w:val="18"/>
          <w:szCs w:val="18"/>
        </w:rPr>
        <w:t xml:space="preserve">ОБЩИЕ СВЕДЕНИЯ О МНОГОКВАРТИРНОМ ДОМЕ </w:t>
      </w:r>
    </w:p>
    <w:tbl>
      <w:tblPr>
        <w:tblStyle w:val="ab"/>
        <w:tblW w:w="0" w:type="auto"/>
        <w:tblLook w:val="04A0"/>
      </w:tblPr>
      <w:tblGrid>
        <w:gridCol w:w="525"/>
        <w:gridCol w:w="7066"/>
        <w:gridCol w:w="2829"/>
      </w:tblGrid>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Байкальская, 318/1</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38:36:000025:98:103</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2008</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7,8 %</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9</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имеется</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32</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14 369 куб.м.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jc w:val="right"/>
              <w:rPr>
                <w:rFonts w:ascii="Times New Roman" w:eastAsia="Times New Roman" w:hAnsi="Times New Roman" w:cs="Times New Roman"/>
                <w:color w:val="auto"/>
                <w:sz w:val="20"/>
                <w:szCs w:val="20"/>
                <w:lang w:eastAsia="en-US"/>
              </w:rPr>
            </w:pP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3 875,2  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2 722,8 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365,9  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791,1 </w:t>
            </w:r>
            <w:r w:rsidRPr="00EE76CF">
              <w:rPr>
                <w:rFonts w:ascii="Times New Roman" w:eastAsia="Times New Roman" w:hAnsi="Times New Roman" w:cs="Times New Roman"/>
                <w:color w:val="auto"/>
                <w:sz w:val="20"/>
                <w:szCs w:val="20"/>
                <w:lang w:eastAsia="en-US"/>
              </w:rPr>
              <w:t>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r w:rsidRPr="00EE76CF">
              <w:rPr>
                <w:rFonts w:ascii="Times New Roman" w:eastAsia="Times New Roman" w:hAnsi="Times New Roman" w:cs="Times New Roman"/>
                <w:color w:val="auto"/>
                <w:sz w:val="20"/>
                <w:szCs w:val="20"/>
                <w:lang w:eastAsia="en-US"/>
              </w:rPr>
              <w:t xml:space="preserve"> шт.</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Уборочная площадь лестни</w:t>
            </w:r>
            <w:r>
              <w:rPr>
                <w:rFonts w:ascii="Times New Roman" w:eastAsia="Times New Roman" w:hAnsi="Times New Roman" w:cs="Times New Roman"/>
                <w:color w:val="auto"/>
                <w:sz w:val="20"/>
                <w:szCs w:val="20"/>
                <w:lang w:eastAsia="en-US"/>
              </w:rPr>
              <w:t>ц</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322,2  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xml:space="preserve">Уборочная площадь </w:t>
            </w:r>
            <w:r>
              <w:rPr>
                <w:rFonts w:ascii="Times New Roman" w:eastAsia="Times New Roman" w:hAnsi="Times New Roman" w:cs="Times New Roman"/>
                <w:color w:val="auto"/>
                <w:sz w:val="20"/>
                <w:szCs w:val="20"/>
                <w:lang w:eastAsia="en-US"/>
              </w:rPr>
              <w:t>мест общего пользования</w:t>
            </w:r>
          </w:p>
        </w:tc>
        <w:tc>
          <w:tcPr>
            <w:tcW w:w="2829"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303</w:t>
            </w:r>
            <w:r w:rsidRPr="00EE76CF">
              <w:rPr>
                <w:rFonts w:ascii="Times New Roman" w:eastAsia="Times New Roman" w:hAnsi="Times New Roman" w:cs="Times New Roman"/>
                <w:color w:val="auto"/>
                <w:sz w:val="20"/>
                <w:szCs w:val="20"/>
                <w:lang w:eastAsia="en-US"/>
              </w:rPr>
              <w:t>,0 кв.м.</w:t>
            </w: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b/>
                <w:color w:val="auto"/>
                <w:sz w:val="20"/>
                <w:szCs w:val="20"/>
                <w:lang w:eastAsia="en-US"/>
              </w:rPr>
            </w:pPr>
            <w:r w:rsidRPr="00EE76CF">
              <w:rPr>
                <w:rFonts w:ascii="Times New Roman" w:eastAsia="Times New Roman" w:hAnsi="Times New Roman" w:cs="Times New Roman"/>
                <w:b/>
                <w:color w:val="auto"/>
                <w:sz w:val="20"/>
                <w:szCs w:val="20"/>
                <w:lang w:eastAsia="en-US"/>
              </w:rPr>
              <w:t>Уборочная площадь придомовой территории:</w:t>
            </w:r>
          </w:p>
          <w:p w:rsidR="00AF72D7" w:rsidRPr="00EE76CF" w:rsidRDefault="00AF72D7" w:rsidP="00FC6D08">
            <w:pPr>
              <w:widowControl/>
              <w:jc w:val="both"/>
              <w:rPr>
                <w:rFonts w:ascii="Times New Roman" w:eastAsia="Times New Roman" w:hAnsi="Times New Roman" w:cs="Times New Roman"/>
                <w:b/>
                <w:color w:val="auto"/>
                <w:sz w:val="20"/>
                <w:szCs w:val="20"/>
                <w:lang w:eastAsia="en-US"/>
              </w:rPr>
            </w:pPr>
            <w:r w:rsidRPr="00EE76CF">
              <w:rPr>
                <w:rFonts w:ascii="Times New Roman" w:eastAsia="Times New Roman" w:hAnsi="Times New Roman" w:cs="Times New Roman"/>
                <w:b/>
                <w:color w:val="auto"/>
                <w:sz w:val="20"/>
                <w:szCs w:val="20"/>
                <w:lang w:eastAsia="en-US"/>
              </w:rPr>
              <w:t>твердые покрытия (асфальт) всего:</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в том числе проезды:</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в том числе тротуары:</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озеленение</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p>
        </w:tc>
      </w:tr>
      <w:tr w:rsidR="00AF72D7" w:rsidRPr="00EE76CF" w:rsidTr="00FC6D08">
        <w:trPr>
          <w:trHeight w:val="1050"/>
        </w:trPr>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b/>
                <w:color w:val="auto"/>
                <w:sz w:val="20"/>
                <w:szCs w:val="20"/>
                <w:lang w:eastAsia="en-US"/>
              </w:rPr>
            </w:pPr>
            <w:r w:rsidRPr="00EE76CF">
              <w:rPr>
                <w:rFonts w:ascii="Times New Roman" w:eastAsia="Times New Roman" w:hAnsi="Times New Roman" w:cs="Times New Roman"/>
                <w:b/>
                <w:color w:val="auto"/>
                <w:sz w:val="20"/>
                <w:szCs w:val="20"/>
                <w:lang w:eastAsia="en-US"/>
              </w:rPr>
              <w:t>Площадки всего:</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в том числе детские:</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в том числе спортивные:</w:t>
            </w:r>
          </w:p>
          <w:p w:rsidR="00AF72D7" w:rsidRPr="00EE76CF" w:rsidRDefault="00AF72D7" w:rsidP="00FC6D08">
            <w:pPr>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p>
        </w:tc>
      </w:tr>
      <w:tr w:rsidR="00AF72D7" w:rsidRPr="00EE76CF" w:rsidTr="00FC6D08">
        <w:tc>
          <w:tcPr>
            <w:tcW w:w="525"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AF72D7" w:rsidRPr="00EE76CF" w:rsidRDefault="00AF72D7" w:rsidP="00FC6D08">
            <w:pPr>
              <w:widowControl/>
              <w:jc w:val="both"/>
              <w:rPr>
                <w:rFonts w:ascii="Times New Roman" w:eastAsia="Times New Roman" w:hAnsi="Times New Roman" w:cs="Times New Roman"/>
                <w:b/>
                <w:color w:val="auto"/>
                <w:sz w:val="20"/>
                <w:szCs w:val="20"/>
                <w:lang w:eastAsia="en-US"/>
              </w:rPr>
            </w:pPr>
            <w:r w:rsidRPr="00EE76CF">
              <w:rPr>
                <w:rFonts w:ascii="Times New Roman" w:eastAsia="Times New Roman" w:hAnsi="Times New Roman" w:cs="Times New Roman"/>
                <w:b/>
                <w:color w:val="auto"/>
                <w:sz w:val="20"/>
                <w:szCs w:val="20"/>
                <w:lang w:eastAsia="en-US"/>
              </w:rPr>
              <w:t>Площадь придомовой территории всего:</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с усовершенствованным покрытием :</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газоны:</w:t>
            </w:r>
          </w:p>
          <w:p w:rsidR="00AF72D7" w:rsidRPr="00EE76CF" w:rsidRDefault="00AF72D7" w:rsidP="00FC6D08">
            <w:pPr>
              <w:widowControl/>
              <w:jc w:val="both"/>
              <w:rPr>
                <w:rFonts w:ascii="Times New Roman" w:eastAsia="Times New Roman" w:hAnsi="Times New Roman" w:cs="Times New Roman"/>
                <w:color w:val="auto"/>
                <w:sz w:val="20"/>
                <w:szCs w:val="20"/>
                <w:lang w:eastAsia="en-US"/>
              </w:rPr>
            </w:pPr>
            <w:r w:rsidRPr="00EE76CF">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tcPr>
          <w:p w:rsidR="00AF72D7" w:rsidRPr="00EE76CF" w:rsidRDefault="00AF72D7" w:rsidP="00FC6D08">
            <w:pPr>
              <w:widowControl/>
              <w:jc w:val="center"/>
              <w:rPr>
                <w:rFonts w:ascii="Times New Roman" w:eastAsia="Times New Roman" w:hAnsi="Times New Roman" w:cs="Times New Roman"/>
                <w:color w:val="auto"/>
                <w:sz w:val="20"/>
                <w:szCs w:val="20"/>
                <w:lang w:eastAsia="en-US"/>
              </w:rPr>
            </w:pPr>
          </w:p>
        </w:tc>
      </w:tr>
    </w:tbl>
    <w:p w:rsidR="00AF72D7" w:rsidRPr="00EE76CF" w:rsidRDefault="00AF72D7" w:rsidP="00AF72D7">
      <w:pPr>
        <w:widowControl/>
        <w:spacing w:after="200" w:line="276" w:lineRule="auto"/>
        <w:rPr>
          <w:rFonts w:ascii="Times New Roman" w:eastAsiaTheme="minorEastAsia" w:hAnsi="Times New Roman" w:cs="Times New Roman"/>
          <w:b/>
          <w:color w:val="auto"/>
          <w:sz w:val="22"/>
          <w:szCs w:val="22"/>
        </w:rPr>
      </w:pPr>
    </w:p>
    <w:p w:rsidR="00AF72D7" w:rsidRDefault="00AF72D7" w:rsidP="00AF72D7">
      <w:pPr>
        <w:widowControl/>
        <w:spacing w:after="200" w:line="276" w:lineRule="auto"/>
        <w:rPr>
          <w:rFonts w:ascii="Times New Roman" w:eastAsiaTheme="minorEastAsia" w:hAnsi="Times New Roman" w:cs="Times New Roman"/>
          <w:b/>
          <w:color w:val="auto"/>
          <w:sz w:val="22"/>
          <w:szCs w:val="22"/>
        </w:rPr>
      </w:pPr>
      <w:r w:rsidRPr="00EE76CF">
        <w:rPr>
          <w:rFonts w:ascii="Times New Roman" w:eastAsiaTheme="minorEastAsia" w:hAnsi="Times New Roman" w:cs="Times New Roman"/>
          <w:b/>
          <w:color w:val="auto"/>
          <w:sz w:val="22"/>
          <w:szCs w:val="22"/>
        </w:rPr>
        <w:t>Управляющая организация ______________                                 Собственник ________________</w:t>
      </w:r>
    </w:p>
    <w:p w:rsidR="00AF72D7" w:rsidRDefault="00AF72D7" w:rsidP="00AF72D7">
      <w:pPr>
        <w:widowControl/>
        <w:spacing w:after="200" w:line="276" w:lineRule="auto"/>
        <w:rPr>
          <w:rFonts w:ascii="Times New Roman" w:eastAsiaTheme="minorEastAsia" w:hAnsi="Times New Roman" w:cs="Times New Roman"/>
          <w:b/>
          <w:color w:val="auto"/>
          <w:sz w:val="22"/>
          <w:szCs w:val="22"/>
        </w:rPr>
      </w:pPr>
    </w:p>
    <w:p w:rsidR="00AF72D7" w:rsidRPr="00EE76CF" w:rsidRDefault="00AF72D7" w:rsidP="00AF72D7">
      <w:pPr>
        <w:widowControl/>
        <w:spacing w:after="200" w:line="276" w:lineRule="auto"/>
        <w:jc w:val="center"/>
        <w:rPr>
          <w:rFonts w:ascii="Times New Roman" w:eastAsiaTheme="minorEastAsia" w:hAnsi="Times New Roman" w:cs="Times New Roman"/>
          <w:b/>
          <w:color w:val="auto"/>
          <w:sz w:val="20"/>
          <w:szCs w:val="20"/>
        </w:rPr>
      </w:pPr>
      <w:r w:rsidRPr="00EE76CF">
        <w:rPr>
          <w:rFonts w:ascii="Times New Roman" w:eastAsiaTheme="minorEastAsia" w:hAnsi="Times New Roman" w:cs="Times New Roman"/>
          <w:b/>
          <w:color w:val="auto"/>
          <w:sz w:val="20"/>
          <w:szCs w:val="20"/>
        </w:rPr>
        <w:t>ТЕХНИЧЕСКОЕ СОСТОЯНИЕ МНОГОКВАРТИРНОГО ДОМА, ВКЛЮЧАЯ ПОСТРОЙКИ</w:t>
      </w:r>
    </w:p>
    <w:tbl>
      <w:tblPr>
        <w:tblOverlap w:val="never"/>
        <w:tblW w:w="0" w:type="auto"/>
        <w:tblLayout w:type="fixed"/>
        <w:tblCellMar>
          <w:left w:w="10" w:type="dxa"/>
          <w:right w:w="10" w:type="dxa"/>
        </w:tblCellMar>
        <w:tblLook w:val="04A0"/>
      </w:tblPr>
      <w:tblGrid>
        <w:gridCol w:w="2078"/>
        <w:gridCol w:w="2726"/>
        <w:gridCol w:w="1886"/>
        <w:gridCol w:w="739"/>
        <w:gridCol w:w="672"/>
        <w:gridCol w:w="792"/>
        <w:gridCol w:w="730"/>
        <w:gridCol w:w="744"/>
      </w:tblGrid>
      <w:tr w:rsidR="00AF72D7" w:rsidRPr="00EE76CF" w:rsidTr="00FC6D08">
        <w:trPr>
          <w:trHeight w:val="1408"/>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87" w:lineRule="exact"/>
              <w:jc w:val="left"/>
              <w:rPr>
                <w:sz w:val="20"/>
                <w:szCs w:val="20"/>
              </w:rPr>
            </w:pPr>
            <w:r w:rsidRPr="00EE76CF">
              <w:rPr>
                <w:rStyle w:val="8pt"/>
                <w:sz w:val="20"/>
                <w:szCs w:val="20"/>
              </w:rPr>
              <w:t>Наименование</w:t>
            </w:r>
          </w:p>
          <w:p w:rsidR="00AF72D7" w:rsidRPr="00EE76CF" w:rsidRDefault="00AF72D7" w:rsidP="00FC6D08">
            <w:pPr>
              <w:pStyle w:val="1"/>
              <w:shd w:val="clear" w:color="auto" w:fill="auto"/>
              <w:spacing w:line="187" w:lineRule="exact"/>
              <w:jc w:val="left"/>
              <w:rPr>
                <w:sz w:val="20"/>
                <w:szCs w:val="20"/>
              </w:rPr>
            </w:pPr>
            <w:r w:rsidRPr="00EE76CF">
              <w:rPr>
                <w:rStyle w:val="7pt"/>
                <w:rFonts w:eastAsia="Century Gothic"/>
                <w:sz w:val="20"/>
                <w:szCs w:val="20"/>
              </w:rPr>
              <w:t>конструктивных</w:t>
            </w:r>
          </w:p>
          <w:p w:rsidR="00AF72D7" w:rsidRPr="00EE76CF" w:rsidRDefault="00AF72D7" w:rsidP="00FC6D08">
            <w:pPr>
              <w:pStyle w:val="1"/>
              <w:shd w:val="clear" w:color="auto" w:fill="auto"/>
              <w:spacing w:line="187" w:lineRule="exact"/>
              <w:jc w:val="left"/>
              <w:rPr>
                <w:sz w:val="20"/>
                <w:szCs w:val="20"/>
              </w:rPr>
            </w:pPr>
            <w:r w:rsidRPr="00EE76CF">
              <w:rPr>
                <w:rStyle w:val="8pt"/>
                <w:sz w:val="20"/>
                <w:szCs w:val="20"/>
              </w:rPr>
              <w:t>элементов</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92" w:lineRule="exact"/>
              <w:jc w:val="left"/>
              <w:rPr>
                <w:sz w:val="20"/>
                <w:szCs w:val="20"/>
              </w:rPr>
            </w:pPr>
            <w:r w:rsidRPr="00EE76CF">
              <w:rPr>
                <w:rStyle w:val="7pt"/>
                <w:rFonts w:eastAsia="Century Gothic"/>
                <w:sz w:val="20"/>
                <w:szCs w:val="20"/>
              </w:rPr>
              <w:t>Описание конструктивных элементов(материал, конструкция или система, отделка и прочее)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92" w:lineRule="exact"/>
              <w:jc w:val="left"/>
              <w:rPr>
                <w:sz w:val="20"/>
                <w:szCs w:val="20"/>
              </w:rPr>
            </w:pPr>
            <w:r w:rsidRPr="00EE76CF">
              <w:rPr>
                <w:rStyle w:val="7pt"/>
                <w:rFonts w:eastAsia="Century Gothic"/>
                <w:sz w:val="20"/>
                <w:szCs w:val="20"/>
              </w:rPr>
              <w:t>Техническое состояние конструктивного элемента</w:t>
            </w:r>
          </w:p>
        </w:tc>
        <w:tc>
          <w:tcPr>
            <w:tcW w:w="739" w:type="dxa"/>
            <w:tcBorders>
              <w:top w:val="single" w:sz="4" w:space="0" w:color="auto"/>
              <w:left w:val="single" w:sz="4" w:space="0" w:color="auto"/>
              <w:bottom w:val="nil"/>
              <w:right w:val="nil"/>
            </w:tcBorders>
            <w:shd w:val="clear" w:color="auto" w:fill="FFFFFF"/>
            <w:textDirection w:val="btLr"/>
            <w:hideMark/>
          </w:tcPr>
          <w:p w:rsidR="00AF72D7" w:rsidRPr="00EE76CF" w:rsidRDefault="00AF72D7" w:rsidP="00FC6D08">
            <w:pPr>
              <w:pStyle w:val="1"/>
              <w:shd w:val="clear" w:color="auto" w:fill="auto"/>
              <w:spacing w:line="192" w:lineRule="exact"/>
              <w:jc w:val="center"/>
              <w:rPr>
                <w:sz w:val="20"/>
                <w:szCs w:val="20"/>
              </w:rPr>
            </w:pPr>
            <w:r w:rsidRPr="00EE76CF">
              <w:rPr>
                <w:rStyle w:val="7pt"/>
                <w:rFonts w:eastAsia="Century Gothic"/>
                <w:sz w:val="20"/>
                <w:szCs w:val="20"/>
              </w:rPr>
              <w:t>Удельный вес по таблице</w:t>
            </w:r>
          </w:p>
        </w:tc>
        <w:tc>
          <w:tcPr>
            <w:tcW w:w="672" w:type="dxa"/>
            <w:tcBorders>
              <w:top w:val="single" w:sz="4" w:space="0" w:color="auto"/>
              <w:left w:val="single" w:sz="4" w:space="0" w:color="auto"/>
              <w:bottom w:val="nil"/>
              <w:right w:val="nil"/>
            </w:tcBorders>
            <w:shd w:val="clear" w:color="auto" w:fill="FFFFFF"/>
            <w:textDirection w:val="btLr"/>
            <w:hideMark/>
          </w:tcPr>
          <w:p w:rsidR="00AF72D7" w:rsidRPr="00EE76CF" w:rsidRDefault="00AF72D7" w:rsidP="00FC6D08">
            <w:pPr>
              <w:pStyle w:val="1"/>
              <w:shd w:val="clear" w:color="auto" w:fill="auto"/>
              <w:spacing w:line="192" w:lineRule="exact"/>
              <w:jc w:val="center"/>
              <w:rPr>
                <w:sz w:val="20"/>
                <w:szCs w:val="20"/>
              </w:rPr>
            </w:pPr>
            <w:r w:rsidRPr="00EE76CF">
              <w:rPr>
                <w:rStyle w:val="7pt"/>
                <w:rFonts w:eastAsia="Century Gothic"/>
                <w:sz w:val="20"/>
                <w:szCs w:val="20"/>
              </w:rPr>
              <w:t>Суммарный</w:t>
            </w:r>
          </w:p>
          <w:p w:rsidR="00AF72D7" w:rsidRPr="00EE76CF" w:rsidRDefault="00AF72D7" w:rsidP="00FC6D08">
            <w:pPr>
              <w:pStyle w:val="1"/>
              <w:shd w:val="clear" w:color="auto" w:fill="auto"/>
              <w:spacing w:line="192" w:lineRule="exact"/>
              <w:jc w:val="center"/>
              <w:rPr>
                <w:sz w:val="20"/>
                <w:szCs w:val="20"/>
              </w:rPr>
            </w:pPr>
            <w:r w:rsidRPr="00EE76CF">
              <w:rPr>
                <w:rStyle w:val="7pt"/>
                <w:rFonts w:eastAsia="Century Gothic"/>
                <w:sz w:val="20"/>
                <w:szCs w:val="20"/>
              </w:rPr>
              <w:t>поправочный</w:t>
            </w:r>
          </w:p>
          <w:p w:rsidR="00AF72D7" w:rsidRPr="00EE76CF" w:rsidRDefault="00AF72D7" w:rsidP="00FC6D08">
            <w:pPr>
              <w:pStyle w:val="1"/>
              <w:shd w:val="clear" w:color="auto" w:fill="auto"/>
              <w:spacing w:line="192" w:lineRule="exact"/>
              <w:jc w:val="center"/>
              <w:rPr>
                <w:sz w:val="20"/>
                <w:szCs w:val="20"/>
              </w:rPr>
            </w:pPr>
            <w:r w:rsidRPr="00EE76CF">
              <w:rPr>
                <w:rStyle w:val="7pt"/>
                <w:rFonts w:eastAsia="Century Gothic"/>
                <w:sz w:val="20"/>
                <w:szCs w:val="20"/>
              </w:rPr>
              <w:t>коэффициент</w:t>
            </w:r>
          </w:p>
        </w:tc>
        <w:tc>
          <w:tcPr>
            <w:tcW w:w="792" w:type="dxa"/>
            <w:tcBorders>
              <w:top w:val="single" w:sz="4" w:space="0" w:color="auto"/>
              <w:left w:val="single" w:sz="4" w:space="0" w:color="auto"/>
              <w:bottom w:val="nil"/>
              <w:right w:val="nil"/>
            </w:tcBorders>
            <w:shd w:val="clear" w:color="auto" w:fill="FFFFFF"/>
            <w:textDirection w:val="btLr"/>
            <w:hideMark/>
          </w:tcPr>
          <w:p w:rsidR="00AF72D7" w:rsidRPr="00EE76CF" w:rsidRDefault="00AF72D7" w:rsidP="00FC6D08">
            <w:pPr>
              <w:pStyle w:val="1"/>
              <w:shd w:val="clear" w:color="auto" w:fill="auto"/>
              <w:spacing w:line="187" w:lineRule="exact"/>
              <w:jc w:val="center"/>
              <w:rPr>
                <w:sz w:val="20"/>
                <w:szCs w:val="20"/>
              </w:rPr>
            </w:pPr>
            <w:r w:rsidRPr="00EE76CF">
              <w:rPr>
                <w:rStyle w:val="7pt"/>
                <w:rFonts w:eastAsia="Century Gothic"/>
                <w:sz w:val="20"/>
                <w:szCs w:val="20"/>
              </w:rPr>
              <w:t>Удельный вес после применения поправочного коэффициента</w:t>
            </w:r>
          </w:p>
        </w:tc>
        <w:tc>
          <w:tcPr>
            <w:tcW w:w="730" w:type="dxa"/>
            <w:tcBorders>
              <w:top w:val="single" w:sz="4" w:space="0" w:color="auto"/>
              <w:left w:val="single" w:sz="4" w:space="0" w:color="auto"/>
              <w:bottom w:val="nil"/>
              <w:right w:val="nil"/>
            </w:tcBorders>
            <w:shd w:val="clear" w:color="auto" w:fill="FFFFFF"/>
            <w:textDirection w:val="btLr"/>
            <w:hideMark/>
          </w:tcPr>
          <w:p w:rsidR="00AF72D7" w:rsidRPr="00EE76CF" w:rsidRDefault="00AF72D7" w:rsidP="00FC6D08">
            <w:pPr>
              <w:pStyle w:val="1"/>
              <w:shd w:val="clear" w:color="auto" w:fill="auto"/>
              <w:spacing w:line="187" w:lineRule="exact"/>
              <w:jc w:val="center"/>
              <w:rPr>
                <w:sz w:val="20"/>
                <w:szCs w:val="20"/>
              </w:rPr>
            </w:pPr>
            <w:r w:rsidRPr="00EE76CF">
              <w:rPr>
                <w:rStyle w:val="7pt"/>
                <w:rFonts w:eastAsia="Century Gothic"/>
                <w:sz w:val="20"/>
                <w:szCs w:val="20"/>
              </w:rPr>
              <w:t>Процент износа элемента</w:t>
            </w:r>
          </w:p>
        </w:tc>
        <w:tc>
          <w:tcPr>
            <w:tcW w:w="744" w:type="dxa"/>
            <w:tcBorders>
              <w:top w:val="single" w:sz="4" w:space="0" w:color="auto"/>
              <w:left w:val="single" w:sz="4" w:space="0" w:color="auto"/>
              <w:bottom w:val="nil"/>
              <w:right w:val="single" w:sz="4" w:space="0" w:color="auto"/>
            </w:tcBorders>
            <w:shd w:val="clear" w:color="auto" w:fill="FFFFFF"/>
            <w:textDirection w:val="btLr"/>
            <w:hideMark/>
          </w:tcPr>
          <w:p w:rsidR="00AF72D7" w:rsidRPr="00EE76CF" w:rsidRDefault="00AF72D7" w:rsidP="00FC6D08">
            <w:pPr>
              <w:pStyle w:val="1"/>
              <w:shd w:val="clear" w:color="auto" w:fill="auto"/>
              <w:spacing w:line="187" w:lineRule="exact"/>
              <w:jc w:val="center"/>
              <w:rPr>
                <w:sz w:val="20"/>
                <w:szCs w:val="20"/>
              </w:rPr>
            </w:pPr>
            <w:r w:rsidRPr="00EE76CF">
              <w:rPr>
                <w:rStyle w:val="7pt"/>
                <w:rFonts w:eastAsia="Century Gothic"/>
                <w:sz w:val="20"/>
                <w:szCs w:val="20"/>
              </w:rPr>
              <w:t>Процент износа к строению</w:t>
            </w: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2</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3</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4</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6</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7</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8</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Фундамент</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Железобетонный</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18.0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19,09</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Стены</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97" w:lineRule="exact"/>
              <w:jc w:val="left"/>
              <w:rPr>
                <w:sz w:val="20"/>
                <w:szCs w:val="20"/>
              </w:rPr>
            </w:pPr>
            <w:r w:rsidRPr="00EE76CF">
              <w:rPr>
                <w:rStyle w:val="7pt"/>
                <w:rFonts w:eastAsia="Century Gothic"/>
                <w:sz w:val="20"/>
                <w:szCs w:val="20"/>
              </w:rPr>
              <w:t>Каркас железобетонный; Кирпичные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18.0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19,09</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Перегородки</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Кирпичные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6,0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6,36</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0,30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Перекрытия</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87" w:lineRule="exact"/>
              <w:jc w:val="left"/>
              <w:rPr>
                <w:sz w:val="20"/>
                <w:szCs w:val="20"/>
              </w:rPr>
            </w:pPr>
            <w:r w:rsidRPr="00EE76CF">
              <w:rPr>
                <w:rStyle w:val="7pt"/>
                <w:rFonts w:eastAsia="Century Gothic"/>
                <w:sz w:val="20"/>
                <w:szCs w:val="20"/>
              </w:rPr>
              <w:t>Перекрытия железобетонные монолитные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15,0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15,91</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0,80</w:t>
            </w: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Подвальные</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Междуэтажные</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Чердачные</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10367" w:type="dxa"/>
            <w:gridSpan w:val="8"/>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Крыша</w:t>
            </w:r>
          </w:p>
        </w:tc>
      </w:tr>
      <w:tr w:rsidR="00AF72D7" w:rsidRPr="00EE76CF" w:rsidTr="00FC6D08">
        <w:trPr>
          <w:trHeight w:val="259"/>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Кровля</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Кровля из рубероида</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0.10</w:t>
            </w: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Конструкция крыши</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Элементы крыши</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Покрытие</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Полы</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Бетонные, цементные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6,0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6.36</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0,30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Проймы</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8,0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8.48</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0.40</w:t>
            </w:r>
          </w:p>
        </w:tc>
      </w:tr>
      <w:tr w:rsidR="00AF72D7" w:rsidRPr="00EE76CF" w:rsidTr="00FC6D08">
        <w:trPr>
          <w:trHeight w:val="25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Двери</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Распашные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Окна</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Пластиковые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Отделка</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432"/>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Внутренняя</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92" w:lineRule="exact"/>
              <w:jc w:val="left"/>
              <w:rPr>
                <w:sz w:val="20"/>
                <w:szCs w:val="20"/>
              </w:rPr>
            </w:pPr>
            <w:r w:rsidRPr="00EE76CF">
              <w:rPr>
                <w:rStyle w:val="7pt"/>
                <w:rFonts w:eastAsia="Century Gothic"/>
                <w:sz w:val="20"/>
                <w:szCs w:val="20"/>
              </w:rPr>
              <w:t>Окраска стсн; Штукатурка потолков; Штукатурка стен</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8,0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8.48</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0,40</w:t>
            </w: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Наружная</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10367" w:type="dxa"/>
            <w:gridSpan w:val="8"/>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Инженерные системы и элементы благоустройства</w:t>
            </w: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Газоснабжение</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Электроснабжение</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Скрытая проводка</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2.3</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2.43</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0.10</w:t>
            </w:r>
          </w:p>
        </w:tc>
      </w:tr>
      <w:tr w:rsidR="00AF72D7" w:rsidRPr="00EE76CF" w:rsidTr="00FC6D08">
        <w:trPr>
          <w:trHeight w:val="397"/>
        </w:trPr>
        <w:tc>
          <w:tcPr>
            <w:tcW w:w="10367" w:type="dxa"/>
            <w:gridSpan w:val="8"/>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Санитарно-технические устройства &lt;</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Вентиляция</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Естественная</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0,2</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1,05</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0,22</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Водопровод</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От городской сети</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1,10</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Канализация</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Центральная</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1,5</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1,55</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210" w:lineRule="exact"/>
              <w:jc w:val="left"/>
              <w:rPr>
                <w:sz w:val="20"/>
                <w:szCs w:val="20"/>
              </w:rPr>
            </w:pPr>
            <w:r w:rsidRPr="00EE76CF">
              <w:rPr>
                <w:rStyle w:val="105pt"/>
                <w:sz w:val="20"/>
                <w:szCs w:val="20"/>
              </w:rPr>
              <w:t>ГВС</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Мусоропровод</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92" w:lineRule="exact"/>
              <w:jc w:val="left"/>
              <w:rPr>
                <w:sz w:val="20"/>
                <w:szCs w:val="20"/>
              </w:rPr>
            </w:pPr>
            <w:r w:rsidRPr="00EE76CF">
              <w:rPr>
                <w:rStyle w:val="7pt"/>
                <w:rFonts w:eastAsia="Century Gothic"/>
                <w:sz w:val="20"/>
                <w:szCs w:val="20"/>
              </w:rPr>
              <w:t>Мусоропровод на лестничной клетке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1.10</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CenturyGothic"/>
                <w:rFonts w:ascii="Times New Roman" w:hAnsi="Times New Roman" w:cs="Times New Roman"/>
                <w:sz w:val="20"/>
                <w:szCs w:val="20"/>
              </w:rPr>
              <w:t>0.11</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Отопление</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Центральное</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2,6</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1.06</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2,76</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0,10</w:t>
            </w:r>
          </w:p>
        </w:tc>
      </w:tr>
      <w:tr w:rsidR="00AF72D7" w:rsidRPr="00EE76CF" w:rsidTr="00FC6D08">
        <w:trPr>
          <w:trHeight w:val="397"/>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Прочие устр-ва</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Ванны</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10367" w:type="dxa"/>
            <w:gridSpan w:val="8"/>
            <w:tcBorders>
              <w:top w:val="single" w:sz="4" w:space="0" w:color="auto"/>
              <w:left w:val="single" w:sz="4" w:space="0" w:color="auto"/>
              <w:bottom w:val="nil"/>
              <w:right w:val="single" w:sz="4" w:space="0" w:color="auto"/>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Электротехнические устройства</w:t>
            </w:r>
          </w:p>
        </w:tc>
      </w:tr>
      <w:tr w:rsidR="00AF72D7" w:rsidRPr="00EE76CF" w:rsidTr="00FC6D08">
        <w:trPr>
          <w:trHeight w:val="24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Лифт</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Лифт</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Напольные эл.плиты</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45"/>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Радио</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Радио</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1,10</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0.11</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324"/>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Система оповещения</w:t>
            </w:r>
          </w:p>
        </w:tc>
        <w:tc>
          <w:tcPr>
            <w:tcW w:w="272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1886" w:type="dxa"/>
            <w:tcBorders>
              <w:top w:val="single" w:sz="4" w:space="0" w:color="auto"/>
              <w:left w:val="single" w:sz="4" w:space="0" w:color="auto"/>
              <w:bottom w:val="nil"/>
              <w:right w:val="nil"/>
            </w:tcBorders>
            <w:shd w:val="clear" w:color="auto" w:fill="FFFFFF"/>
            <w:vAlign w:val="center"/>
          </w:tcPr>
          <w:p w:rsidR="00AF72D7" w:rsidRPr="00EE76CF" w:rsidRDefault="00AF72D7" w:rsidP="00FC6D08">
            <w:pPr>
              <w:spacing w:line="276" w:lineRule="auto"/>
              <w:rPr>
                <w:rFonts w:ascii="Times New Roman" w:hAnsi="Times New Roman" w:cs="Times New Roman"/>
                <w:sz w:val="20"/>
                <w:szCs w:val="20"/>
              </w:rPr>
            </w:pPr>
          </w:p>
        </w:tc>
        <w:tc>
          <w:tcPr>
            <w:tcW w:w="739"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67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92"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30" w:type="dxa"/>
            <w:tcBorders>
              <w:top w:val="single" w:sz="4" w:space="0" w:color="auto"/>
              <w:left w:val="single" w:sz="4" w:space="0" w:color="auto"/>
              <w:bottom w:val="nil"/>
              <w:right w:val="nil"/>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c>
          <w:tcPr>
            <w:tcW w:w="744" w:type="dxa"/>
            <w:tcBorders>
              <w:top w:val="single" w:sz="4" w:space="0" w:color="auto"/>
              <w:left w:val="single" w:sz="4" w:space="0" w:color="auto"/>
              <w:bottom w:val="nil"/>
              <w:right w:val="single" w:sz="4" w:space="0" w:color="auto"/>
            </w:tcBorders>
            <w:shd w:val="clear" w:color="auto" w:fill="FFFFFF"/>
            <w:vAlign w:val="bottom"/>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50"/>
        </w:trPr>
        <w:tc>
          <w:tcPr>
            <w:tcW w:w="2078"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Телефон</w:t>
            </w:r>
          </w:p>
        </w:tc>
        <w:tc>
          <w:tcPr>
            <w:tcW w:w="272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Телефон</w:t>
            </w:r>
          </w:p>
        </w:tc>
        <w:tc>
          <w:tcPr>
            <w:tcW w:w="1886"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0,3</w:t>
            </w:r>
          </w:p>
        </w:tc>
        <w:tc>
          <w:tcPr>
            <w:tcW w:w="67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1.07</w:t>
            </w:r>
          </w:p>
        </w:tc>
        <w:tc>
          <w:tcPr>
            <w:tcW w:w="792"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0.32</w:t>
            </w:r>
          </w:p>
        </w:tc>
        <w:tc>
          <w:tcPr>
            <w:tcW w:w="730" w:type="dxa"/>
            <w:tcBorders>
              <w:top w:val="single" w:sz="4" w:space="0" w:color="auto"/>
              <w:left w:val="single" w:sz="4" w:space="0" w:color="auto"/>
              <w:bottom w:val="nil"/>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nil"/>
              <w:right w:val="single" w:sz="4" w:space="0" w:color="auto"/>
            </w:tcBorders>
            <w:shd w:val="clear" w:color="auto" w:fill="FFFFFF"/>
            <w:vAlign w:val="center"/>
          </w:tcPr>
          <w:p w:rsidR="00AF72D7" w:rsidRPr="00EE76CF" w:rsidRDefault="00AF72D7" w:rsidP="00FC6D08">
            <w:pPr>
              <w:spacing w:line="276" w:lineRule="auto"/>
              <w:jc w:val="center"/>
              <w:rPr>
                <w:rFonts w:ascii="Times New Roman" w:hAnsi="Times New Roman" w:cs="Times New Roman"/>
                <w:sz w:val="20"/>
                <w:szCs w:val="20"/>
              </w:rPr>
            </w:pPr>
          </w:p>
        </w:tc>
      </w:tr>
      <w:tr w:rsidR="00AF72D7" w:rsidRPr="00EE76CF" w:rsidTr="00FC6D08">
        <w:trPr>
          <w:trHeight w:val="269"/>
        </w:trPr>
        <w:tc>
          <w:tcPr>
            <w:tcW w:w="2078"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Телевидение</w:t>
            </w:r>
          </w:p>
        </w:tc>
        <w:tc>
          <w:tcPr>
            <w:tcW w:w="2726"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Телевидение</w:t>
            </w:r>
          </w:p>
        </w:tc>
        <w:tc>
          <w:tcPr>
            <w:tcW w:w="1886"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left"/>
              <w:rPr>
                <w:sz w:val="20"/>
                <w:szCs w:val="20"/>
              </w:rPr>
            </w:pPr>
            <w:r w:rsidRPr="00EE76CF">
              <w:rPr>
                <w:rStyle w:val="7pt"/>
                <w:rFonts w:eastAsia="Century Gothic"/>
                <w:sz w:val="20"/>
                <w:szCs w:val="20"/>
              </w:rPr>
              <w:t>Хорошее</w:t>
            </w:r>
          </w:p>
        </w:tc>
        <w:tc>
          <w:tcPr>
            <w:tcW w:w="739"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0,2</w:t>
            </w:r>
          </w:p>
        </w:tc>
        <w:tc>
          <w:tcPr>
            <w:tcW w:w="672"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1,05</w:t>
            </w:r>
          </w:p>
        </w:tc>
        <w:tc>
          <w:tcPr>
            <w:tcW w:w="792"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0,21</w:t>
            </w:r>
          </w:p>
        </w:tc>
        <w:tc>
          <w:tcPr>
            <w:tcW w:w="730" w:type="dxa"/>
            <w:tcBorders>
              <w:top w:val="single" w:sz="4" w:space="0" w:color="auto"/>
              <w:left w:val="single" w:sz="4" w:space="0" w:color="auto"/>
              <w:bottom w:val="single" w:sz="4" w:space="0" w:color="auto"/>
              <w:right w:val="nil"/>
            </w:tcBorders>
            <w:shd w:val="clear" w:color="auto" w:fill="FFFFFF"/>
            <w:vAlign w:val="center"/>
            <w:hideMark/>
          </w:tcPr>
          <w:p w:rsidR="00AF72D7" w:rsidRPr="00EE76CF" w:rsidRDefault="00AF72D7" w:rsidP="00FC6D08">
            <w:pPr>
              <w:pStyle w:val="1"/>
              <w:shd w:val="clear" w:color="auto" w:fill="auto"/>
              <w:spacing w:line="140" w:lineRule="exact"/>
              <w:jc w:val="center"/>
              <w:rPr>
                <w:sz w:val="20"/>
                <w:szCs w:val="20"/>
              </w:rPr>
            </w:pPr>
            <w:r w:rsidRPr="00EE76CF">
              <w:rPr>
                <w:rStyle w:val="7pt"/>
                <w:rFonts w:eastAsia="Century Gothic"/>
                <w:sz w:val="20"/>
                <w:szCs w:val="20"/>
              </w:rPr>
              <w:t>5,00</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AF72D7" w:rsidRPr="00EE76CF" w:rsidRDefault="00AF72D7" w:rsidP="00FC6D08">
            <w:pPr>
              <w:spacing w:line="276" w:lineRule="auto"/>
              <w:jc w:val="center"/>
              <w:rPr>
                <w:rFonts w:ascii="Times New Roman" w:hAnsi="Times New Roman" w:cs="Times New Roman"/>
                <w:sz w:val="20"/>
                <w:szCs w:val="20"/>
              </w:rPr>
            </w:pPr>
          </w:p>
        </w:tc>
      </w:tr>
    </w:tbl>
    <w:p w:rsidR="00AF72D7" w:rsidRPr="00EE76CF" w:rsidRDefault="00AF72D7" w:rsidP="00AF72D7">
      <w:pPr>
        <w:widowControl/>
        <w:spacing w:after="200" w:line="276" w:lineRule="auto"/>
        <w:rPr>
          <w:rFonts w:ascii="Times New Roman" w:eastAsiaTheme="minorEastAsia" w:hAnsi="Times New Roman" w:cs="Times New Roman"/>
          <w:b/>
          <w:color w:val="auto"/>
          <w:sz w:val="20"/>
          <w:szCs w:val="20"/>
        </w:rPr>
      </w:pPr>
    </w:p>
    <w:p w:rsidR="00AF72D7" w:rsidRPr="00EE76CF" w:rsidRDefault="00AF72D7" w:rsidP="00AF72D7">
      <w:pPr>
        <w:widowControl/>
        <w:spacing w:after="200" w:line="276" w:lineRule="auto"/>
        <w:rPr>
          <w:rFonts w:ascii="Times New Roman" w:eastAsiaTheme="minorEastAsia" w:hAnsi="Times New Roman" w:cs="Times New Roman"/>
          <w:b/>
          <w:color w:val="auto"/>
          <w:sz w:val="20"/>
          <w:szCs w:val="20"/>
        </w:rPr>
      </w:pPr>
      <w:r w:rsidRPr="00EE76CF">
        <w:rPr>
          <w:rFonts w:ascii="Times New Roman" w:eastAsiaTheme="minorEastAsia" w:hAnsi="Times New Roman" w:cs="Times New Roman"/>
          <w:b/>
          <w:color w:val="auto"/>
          <w:sz w:val="20"/>
          <w:szCs w:val="20"/>
        </w:rPr>
        <w:t>Управляющая организация ______________                                 Собственник _______________</w:t>
      </w:r>
    </w:p>
    <w:p w:rsidR="00AF72D7" w:rsidRPr="00EE76CF" w:rsidRDefault="00AF72D7" w:rsidP="00AF72D7">
      <w:pPr>
        <w:rPr>
          <w:rFonts w:ascii="Times New Roman" w:hAnsi="Times New Roman" w:cs="Times New Roman"/>
        </w:rPr>
      </w:pP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bookmarkStart w:id="3" w:name="_GoBack"/>
      <w:bookmarkEnd w:id="3"/>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7A7DDF" w:rsidRDefault="007A7DDF"/>
    <w:sectPr w:rsidR="007A7DDF"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161" w:rsidRDefault="00885161" w:rsidP="00B3353C">
      <w:r>
        <w:separator/>
      </w:r>
    </w:p>
  </w:endnote>
  <w:endnote w:type="continuationSeparator" w:id="1">
    <w:p w:rsidR="00885161" w:rsidRDefault="00885161" w:rsidP="00B33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161" w:rsidRDefault="00885161" w:rsidP="00B3353C">
      <w:r>
        <w:separator/>
      </w:r>
    </w:p>
  </w:footnote>
  <w:footnote w:type="continuationSeparator" w:id="1">
    <w:p w:rsidR="00885161" w:rsidRDefault="00885161" w:rsidP="00B33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447DE"/>
    <w:rsid w:val="000A0567"/>
    <w:rsid w:val="000C40DC"/>
    <w:rsid w:val="00260061"/>
    <w:rsid w:val="002C10E2"/>
    <w:rsid w:val="00323658"/>
    <w:rsid w:val="003F6EBD"/>
    <w:rsid w:val="004171C8"/>
    <w:rsid w:val="00451947"/>
    <w:rsid w:val="005560FE"/>
    <w:rsid w:val="006D2A48"/>
    <w:rsid w:val="007A7DDF"/>
    <w:rsid w:val="00885161"/>
    <w:rsid w:val="00AF72D7"/>
    <w:rsid w:val="00B03508"/>
    <w:rsid w:val="00B3353C"/>
    <w:rsid w:val="00C43E56"/>
    <w:rsid w:val="00CC4A8F"/>
    <w:rsid w:val="00D65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character" w:customStyle="1" w:styleId="aa">
    <w:name w:val="Основной текст_"/>
    <w:basedOn w:val="a0"/>
    <w:link w:val="1"/>
    <w:locked/>
    <w:rsid w:val="00AF72D7"/>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aa"/>
    <w:rsid w:val="00AF72D7"/>
    <w:pPr>
      <w:shd w:val="clear" w:color="auto" w:fill="FFFFFF"/>
      <w:spacing w:line="374" w:lineRule="exact"/>
      <w:jc w:val="both"/>
    </w:pPr>
    <w:rPr>
      <w:rFonts w:ascii="Times New Roman" w:eastAsia="Times New Roman" w:hAnsi="Times New Roman" w:cs="Times New Roman"/>
      <w:color w:val="auto"/>
      <w:sz w:val="19"/>
      <w:szCs w:val="19"/>
      <w:lang w:eastAsia="en-US"/>
    </w:rPr>
  </w:style>
  <w:style w:type="character" w:customStyle="1" w:styleId="8pt">
    <w:name w:val="Основной текст + 8 pt"/>
    <w:basedOn w:val="aa"/>
    <w:rsid w:val="00AF72D7"/>
    <w:rPr>
      <w:color w:val="000000"/>
      <w:spacing w:val="0"/>
      <w:w w:val="100"/>
      <w:position w:val="0"/>
      <w:sz w:val="16"/>
      <w:szCs w:val="16"/>
      <w:lang w:val="ru-RU" w:eastAsia="ru-RU" w:bidi="ru-RU"/>
    </w:rPr>
  </w:style>
  <w:style w:type="character" w:customStyle="1" w:styleId="7pt">
    <w:name w:val="Основной текст + 7 pt"/>
    <w:basedOn w:val="aa"/>
    <w:rsid w:val="00AF72D7"/>
    <w:rPr>
      <w:color w:val="000000"/>
      <w:spacing w:val="0"/>
      <w:w w:val="100"/>
      <w:position w:val="0"/>
      <w:sz w:val="14"/>
      <w:szCs w:val="14"/>
      <w:lang w:val="ru-RU" w:eastAsia="ru-RU" w:bidi="ru-RU"/>
    </w:rPr>
  </w:style>
  <w:style w:type="character" w:customStyle="1" w:styleId="105pt">
    <w:name w:val="Основной текст + 10.5 pt"/>
    <w:aliases w:val="Полужирный"/>
    <w:basedOn w:val="aa"/>
    <w:rsid w:val="00AF72D7"/>
    <w:rPr>
      <w:b/>
      <w:bCs/>
      <w:color w:val="000000"/>
      <w:spacing w:val="0"/>
      <w:w w:val="100"/>
      <w:position w:val="0"/>
      <w:sz w:val="21"/>
      <w:szCs w:val="21"/>
      <w:lang w:val="ru-RU" w:eastAsia="ru-RU" w:bidi="ru-RU"/>
    </w:rPr>
  </w:style>
  <w:style w:type="character" w:customStyle="1" w:styleId="CenturyGothic">
    <w:name w:val="Основной текст + Century Gothic"/>
    <w:aliases w:val="7 pt"/>
    <w:basedOn w:val="aa"/>
    <w:rsid w:val="00AF72D7"/>
    <w:rPr>
      <w:rFonts w:ascii="Century Gothic" w:eastAsia="Century Gothic" w:hAnsi="Century Gothic" w:cs="Century Gothic"/>
      <w:color w:val="000000"/>
      <w:spacing w:val="0"/>
      <w:w w:val="100"/>
      <w:position w:val="0"/>
      <w:sz w:val="14"/>
      <w:szCs w:val="14"/>
      <w:lang w:val="ru-RU" w:eastAsia="ru-RU" w:bidi="ru-RU"/>
    </w:rPr>
  </w:style>
  <w:style w:type="table" w:styleId="ab">
    <w:name w:val="Table Grid"/>
    <w:basedOn w:val="a1"/>
    <w:uiPriority w:val="59"/>
    <w:rsid w:val="00AF72D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ktrcompani@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20447-EE0E-4975-9EA7-4B9506DB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12064</Words>
  <Characters>68768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dcterms:created xsi:type="dcterms:W3CDTF">2015-02-02T09:15:00Z</dcterms:created>
  <dcterms:modified xsi:type="dcterms:W3CDTF">2015-02-02T09:15:00Z</dcterms:modified>
</cp:coreProperties>
</file>