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 ,</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г. Иркутск, ул. Байкальская,</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3.2.3  </w:t>
      </w:r>
      <w:r w:rsidRPr="004777D7">
        <w:rPr>
          <w:rFonts w:ascii="Times New Roman" w:eastAsia="Times New Roman" w:hAnsi="Times New Roman" w:cs="Times New Roman"/>
          <w:spacing w:val="10"/>
          <w:sz w:val="22"/>
          <w:szCs w:val="22"/>
        </w:rPr>
        <w:t xml:space="preserve">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r w:rsidR="002C10E2"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4.2.3 </w:t>
      </w:r>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5.ПОРЯДОК ОСУЩЕСТВЛЕНИЯ КОНТРОЛЯ ЗА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r w:rsidRPr="000447DE">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r w:rsidRPr="000447DE">
        <w:rPr>
          <w:rFonts w:ascii="Times New Roman" w:eastAsia="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r w:rsidRPr="000447DE">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ИНН 3808132067 р/с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8"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853980" w:rsidRDefault="00853980" w:rsidP="00853980">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t>Приложение № 1 к Договору управления многоквартирным домом ул.  Байкальская, 318/2</w:t>
      </w:r>
    </w:p>
    <w:p w:rsidR="00853980" w:rsidRDefault="00853980" w:rsidP="00853980">
      <w:pPr>
        <w:widowControl/>
        <w:spacing w:line="276" w:lineRule="auto"/>
        <w:rPr>
          <w:rFonts w:ascii="Times New Roman" w:eastAsiaTheme="minorEastAsia"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r>
        <w:rPr>
          <w:rFonts w:ascii="Times New Roman" w:eastAsiaTheme="minorEastAsia" w:hAnsi="Times New Roman" w:cs="Times New Roman"/>
          <w:b/>
          <w:color w:val="auto"/>
          <w:sz w:val="18"/>
          <w:szCs w:val="18"/>
        </w:rPr>
        <w:t xml:space="preserve"> расположенного по адресу: </w:t>
      </w:r>
    </w:p>
    <w:p w:rsidR="00853980" w:rsidRDefault="00853980" w:rsidP="00853980">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853980" w:rsidRDefault="00853980" w:rsidP="0085398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853980" w:rsidRDefault="00853980" w:rsidP="00853980">
      <w:pPr>
        <w:widowControl/>
        <w:jc w:val="center"/>
        <w:rPr>
          <w:rFonts w:ascii="Times New Roman" w:eastAsia="Times New Roman" w:hAnsi="Times New Roman" w:cs="Times New Roman"/>
          <w:b/>
          <w:color w:val="auto"/>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b"/>
        <w:tblW w:w="0" w:type="auto"/>
        <w:tblLook w:val="04A0"/>
      </w:tblPr>
      <w:tblGrid>
        <w:gridCol w:w="525"/>
        <w:gridCol w:w="7066"/>
        <w:gridCol w:w="2829"/>
      </w:tblGrid>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Ул. Байкальская, 318/2</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2008</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7,8 %</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имеется</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32</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853980" w:rsidRPr="00AF64EB"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14 316   куб.м.</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853980" w:rsidRDefault="00853980" w:rsidP="009F4FA6">
            <w:pPr>
              <w:widowControl/>
              <w:jc w:val="right"/>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3 880,9   кв.м.</w:t>
            </w:r>
          </w:p>
        </w:tc>
      </w:tr>
      <w:tr w:rsidR="00853980" w:rsidTr="009F4FA6">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2 729,9  кв.м.</w:t>
            </w:r>
          </w:p>
        </w:tc>
      </w:tr>
      <w:tr w:rsidR="00853980" w:rsidTr="009F4FA6">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360,6   кв.м.</w:t>
            </w:r>
          </w:p>
        </w:tc>
      </w:tr>
      <w:tr w:rsidR="00853980" w:rsidTr="009F4FA6">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789,6   кв.м.</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 шт.</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Уборочная площадь лестниц </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384,4  кв.м.</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мест общего пользования</w:t>
            </w:r>
          </w:p>
        </w:tc>
        <w:tc>
          <w:tcPr>
            <w:tcW w:w="2829" w:type="dxa"/>
            <w:tcBorders>
              <w:top w:val="single" w:sz="4" w:space="0" w:color="auto"/>
              <w:left w:val="single" w:sz="4" w:space="0" w:color="auto"/>
              <w:bottom w:val="single" w:sz="4" w:space="0" w:color="auto"/>
              <w:right w:val="single" w:sz="4" w:space="0" w:color="auto"/>
            </w:tcBorders>
            <w:vAlign w:val="center"/>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369,2</w:t>
            </w:r>
            <w:r w:rsidRPr="00A7716D">
              <w:rPr>
                <w:rFonts w:ascii="Times New Roman" w:eastAsia="Times New Roman" w:hAnsi="Times New Roman" w:cs="Times New Roman"/>
                <w:color w:val="auto"/>
                <w:sz w:val="20"/>
                <w:szCs w:val="20"/>
                <w:lang w:eastAsia="en-US"/>
              </w:rPr>
              <w:t xml:space="preserve"> </w:t>
            </w:r>
            <w:r>
              <w:rPr>
                <w:rFonts w:ascii="Times New Roman" w:eastAsia="Times New Roman" w:hAnsi="Times New Roman" w:cs="Times New Roman"/>
                <w:color w:val="auto"/>
                <w:sz w:val="20"/>
                <w:szCs w:val="20"/>
                <w:lang w:eastAsia="en-US"/>
              </w:rPr>
              <w:t xml:space="preserve"> </w:t>
            </w:r>
            <w:r w:rsidRPr="00A7716D">
              <w:rPr>
                <w:rFonts w:ascii="Times New Roman" w:eastAsia="Times New Roman" w:hAnsi="Times New Roman" w:cs="Times New Roman"/>
                <w:color w:val="auto"/>
                <w:sz w:val="20"/>
                <w:szCs w:val="20"/>
                <w:lang w:eastAsia="en-US"/>
              </w:rPr>
              <w:t>кв.м.</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Уборочная площадь придомовой территории:</w:t>
            </w:r>
          </w:p>
          <w:p w:rsidR="00853980" w:rsidRDefault="00853980" w:rsidP="009F4FA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твердые покрытия (асфальт) всего:</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проезды:</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тротуары:</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p>
        </w:tc>
      </w:tr>
      <w:tr w:rsidR="00853980" w:rsidTr="009F4FA6">
        <w:trPr>
          <w:trHeight w:val="1050"/>
        </w:trPr>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Площадки всего:</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детские:</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спортивные:</w:t>
            </w:r>
          </w:p>
          <w:p w:rsidR="00853980" w:rsidRDefault="00853980" w:rsidP="009F4FA6">
            <w:pPr>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Площадь придомовой территории всего:</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с усовершенствованным покрытием :</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газоны:</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p>
        </w:tc>
      </w:tr>
    </w:tbl>
    <w:p w:rsidR="00853980" w:rsidRDefault="00853980" w:rsidP="00853980">
      <w:pPr>
        <w:widowControl/>
        <w:spacing w:after="200" w:line="276" w:lineRule="auto"/>
        <w:rPr>
          <w:rFonts w:ascii="Times New Roman" w:eastAsiaTheme="minorEastAsia" w:hAnsi="Times New Roman" w:cs="Times New Roman"/>
          <w:b/>
          <w:color w:val="auto"/>
          <w:sz w:val="22"/>
          <w:szCs w:val="22"/>
        </w:rPr>
      </w:pPr>
    </w:p>
    <w:p w:rsidR="00853980" w:rsidRDefault="00853980" w:rsidP="00853980">
      <w:pPr>
        <w:widowControl/>
        <w:spacing w:after="200" w:line="276" w:lineRule="auto"/>
        <w:rPr>
          <w:rFonts w:ascii="Times New Roman" w:eastAsiaTheme="minorEastAsia" w:hAnsi="Times New Roman" w:cs="Times New Roman"/>
          <w:b/>
          <w:color w:val="auto"/>
          <w:sz w:val="22"/>
          <w:szCs w:val="22"/>
        </w:rPr>
      </w:pPr>
    </w:p>
    <w:p w:rsidR="00853980" w:rsidRDefault="00853980" w:rsidP="00853980">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853980" w:rsidRDefault="00853980" w:rsidP="00853980">
      <w:pPr>
        <w:widowControl/>
        <w:spacing w:after="200" w:line="276" w:lineRule="auto"/>
        <w:rPr>
          <w:rFonts w:ascii="Times New Roman" w:eastAsiaTheme="minorEastAsia" w:hAnsi="Times New Roman" w:cs="Times New Roman"/>
          <w:b/>
          <w:color w:val="auto"/>
          <w:sz w:val="22"/>
          <w:szCs w:val="22"/>
        </w:rPr>
      </w:pPr>
    </w:p>
    <w:p w:rsidR="00853980" w:rsidRDefault="00853980" w:rsidP="00853980">
      <w:pPr>
        <w:widowControl/>
        <w:spacing w:after="200" w:line="276" w:lineRule="auto"/>
        <w:jc w:val="center"/>
        <w:rPr>
          <w:rFonts w:ascii="Times New Roman" w:eastAsiaTheme="minorEastAsia" w:hAnsi="Times New Roman" w:cs="Times New Roman"/>
          <w:b/>
          <w:color w:val="auto"/>
          <w:sz w:val="20"/>
          <w:szCs w:val="20"/>
        </w:rPr>
      </w:pPr>
      <w:r>
        <w:rPr>
          <w:rFonts w:ascii="Times New Roman" w:eastAsiaTheme="minorEastAsia" w:hAnsi="Times New Roman" w:cs="Times New Roman"/>
          <w:b/>
          <w:color w:val="auto"/>
          <w:sz w:val="20"/>
          <w:szCs w:val="20"/>
        </w:rPr>
        <w:t>ТЕХНИЧЕСКОЕ СОСТОЯНИЕ МНОГОКВАРТИРНОГО ДОМА, ВКЛЮЧАЯ ПОСТРОЙКИ</w:t>
      </w:r>
    </w:p>
    <w:tbl>
      <w:tblPr>
        <w:tblOverlap w:val="never"/>
        <w:tblW w:w="0" w:type="auto"/>
        <w:tblLayout w:type="fixed"/>
        <w:tblCellMar>
          <w:left w:w="10" w:type="dxa"/>
          <w:right w:w="10" w:type="dxa"/>
        </w:tblCellMar>
        <w:tblLook w:val="04A0"/>
      </w:tblPr>
      <w:tblGrid>
        <w:gridCol w:w="2069"/>
        <w:gridCol w:w="2722"/>
        <w:gridCol w:w="1886"/>
        <w:gridCol w:w="739"/>
        <w:gridCol w:w="677"/>
        <w:gridCol w:w="792"/>
        <w:gridCol w:w="725"/>
        <w:gridCol w:w="758"/>
      </w:tblGrid>
      <w:tr w:rsidR="00853980" w:rsidTr="009F4FA6">
        <w:trPr>
          <w:trHeight w:val="1478"/>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center"/>
              <w:rPr>
                <w:sz w:val="20"/>
                <w:szCs w:val="20"/>
              </w:rPr>
            </w:pPr>
            <w:r w:rsidRPr="00A37727">
              <w:rPr>
                <w:rStyle w:val="7pt"/>
                <w:rFonts w:eastAsia="Courier New"/>
                <w:sz w:val="20"/>
                <w:szCs w:val="20"/>
              </w:rPr>
              <w:t>Наименование</w:t>
            </w:r>
          </w:p>
          <w:p w:rsidR="00853980" w:rsidRPr="00A37727" w:rsidRDefault="00853980" w:rsidP="009F4FA6">
            <w:pPr>
              <w:pStyle w:val="1"/>
              <w:shd w:val="clear" w:color="auto" w:fill="auto"/>
              <w:spacing w:line="192" w:lineRule="exact"/>
              <w:jc w:val="center"/>
              <w:rPr>
                <w:sz w:val="20"/>
                <w:szCs w:val="20"/>
              </w:rPr>
            </w:pPr>
            <w:r w:rsidRPr="00A37727">
              <w:rPr>
                <w:rStyle w:val="7pt"/>
                <w:rFonts w:eastAsia="Courier New"/>
                <w:sz w:val="20"/>
                <w:szCs w:val="20"/>
              </w:rPr>
              <w:t>конструктивных</w:t>
            </w:r>
          </w:p>
          <w:p w:rsidR="00853980" w:rsidRPr="00A37727" w:rsidRDefault="00853980" w:rsidP="009F4FA6">
            <w:pPr>
              <w:pStyle w:val="1"/>
              <w:shd w:val="clear" w:color="auto" w:fill="auto"/>
              <w:spacing w:line="192" w:lineRule="exact"/>
              <w:jc w:val="center"/>
              <w:rPr>
                <w:sz w:val="20"/>
                <w:szCs w:val="20"/>
              </w:rPr>
            </w:pPr>
            <w:r w:rsidRPr="00A37727">
              <w:rPr>
                <w:rStyle w:val="7pt"/>
                <w:rFonts w:eastAsia="Courier New"/>
                <w:sz w:val="20"/>
                <w:szCs w:val="20"/>
              </w:rPr>
              <w:t>элементов</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center"/>
              <w:rPr>
                <w:sz w:val="20"/>
                <w:szCs w:val="20"/>
              </w:rPr>
            </w:pPr>
            <w:r w:rsidRPr="00A37727">
              <w:rPr>
                <w:rStyle w:val="7pt"/>
                <w:rFonts w:eastAsia="Courier New"/>
                <w:sz w:val="20"/>
                <w:szCs w:val="20"/>
              </w:rPr>
              <w:t>Описание конструктивных элементов(материал, конструкция или система, отделка и прочее)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center"/>
              <w:rPr>
                <w:sz w:val="20"/>
                <w:szCs w:val="20"/>
              </w:rPr>
            </w:pPr>
            <w:r w:rsidRPr="00A37727">
              <w:rPr>
                <w:rStyle w:val="7pt"/>
                <w:rFonts w:eastAsia="Courier New"/>
                <w:sz w:val="20"/>
                <w:szCs w:val="20"/>
              </w:rPr>
              <w:t>Техническое состояние конструктивного элемента</w:t>
            </w:r>
          </w:p>
        </w:tc>
        <w:tc>
          <w:tcPr>
            <w:tcW w:w="739" w:type="dxa"/>
            <w:tcBorders>
              <w:top w:val="single" w:sz="4" w:space="0" w:color="auto"/>
              <w:left w:val="single" w:sz="4" w:space="0" w:color="auto"/>
            </w:tcBorders>
            <w:shd w:val="clear" w:color="auto" w:fill="FFFFFF"/>
            <w:textDirection w:val="btLr"/>
            <w:vAlign w:val="cente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Удельный вес по таблице</w:t>
            </w:r>
          </w:p>
        </w:tc>
        <w:tc>
          <w:tcPr>
            <w:tcW w:w="677" w:type="dxa"/>
            <w:tcBorders>
              <w:top w:val="single" w:sz="4" w:space="0" w:color="auto"/>
              <w:left w:val="single" w:sz="4" w:space="0" w:color="auto"/>
            </w:tcBorders>
            <w:shd w:val="clear" w:color="auto" w:fill="FFFFFF"/>
            <w:textDirection w:val="btL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Суммарный</w:t>
            </w:r>
          </w:p>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поправочный</w:t>
            </w:r>
          </w:p>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коэффициент</w:t>
            </w:r>
          </w:p>
        </w:tc>
        <w:tc>
          <w:tcPr>
            <w:tcW w:w="792" w:type="dxa"/>
            <w:tcBorders>
              <w:top w:val="single" w:sz="4" w:space="0" w:color="auto"/>
              <w:left w:val="single" w:sz="4" w:space="0" w:color="auto"/>
            </w:tcBorders>
            <w:shd w:val="clear" w:color="auto" w:fill="FFFFFF"/>
            <w:textDirection w:val="btLr"/>
          </w:tcPr>
          <w:p w:rsidR="00853980" w:rsidRPr="00A37727" w:rsidRDefault="00853980" w:rsidP="009F4FA6">
            <w:pPr>
              <w:pStyle w:val="1"/>
              <w:shd w:val="clear" w:color="auto" w:fill="auto"/>
              <w:spacing w:line="187" w:lineRule="exact"/>
              <w:jc w:val="left"/>
              <w:rPr>
                <w:sz w:val="20"/>
                <w:szCs w:val="20"/>
              </w:rPr>
            </w:pPr>
            <w:r w:rsidRPr="00A37727">
              <w:rPr>
                <w:rStyle w:val="7pt"/>
                <w:rFonts w:eastAsia="Courier New"/>
                <w:sz w:val="20"/>
                <w:szCs w:val="20"/>
              </w:rPr>
              <w:t>Удельный вес после применения поправочного коэффициента</w:t>
            </w:r>
          </w:p>
        </w:tc>
        <w:tc>
          <w:tcPr>
            <w:tcW w:w="725" w:type="dxa"/>
            <w:tcBorders>
              <w:top w:val="single" w:sz="4" w:space="0" w:color="auto"/>
              <w:left w:val="single" w:sz="4" w:space="0" w:color="auto"/>
            </w:tcBorders>
            <w:shd w:val="clear" w:color="auto" w:fill="FFFFFF"/>
            <w:textDirection w:val="btLr"/>
          </w:tcPr>
          <w:p w:rsidR="00853980" w:rsidRPr="00A37727" w:rsidRDefault="00853980" w:rsidP="009F4FA6">
            <w:pPr>
              <w:pStyle w:val="1"/>
              <w:shd w:val="clear" w:color="auto" w:fill="auto"/>
              <w:spacing w:line="187" w:lineRule="exact"/>
              <w:jc w:val="left"/>
              <w:rPr>
                <w:sz w:val="20"/>
                <w:szCs w:val="20"/>
              </w:rPr>
            </w:pPr>
            <w:r w:rsidRPr="00A37727">
              <w:rPr>
                <w:rStyle w:val="7pt"/>
                <w:rFonts w:eastAsia="Courier New"/>
                <w:sz w:val="20"/>
                <w:szCs w:val="20"/>
              </w:rPr>
              <w:t>Процент износа элемента</w:t>
            </w:r>
          </w:p>
        </w:tc>
        <w:tc>
          <w:tcPr>
            <w:tcW w:w="758" w:type="dxa"/>
            <w:tcBorders>
              <w:top w:val="single" w:sz="4" w:space="0" w:color="auto"/>
              <w:left w:val="single" w:sz="4" w:space="0" w:color="auto"/>
              <w:right w:val="single" w:sz="4" w:space="0" w:color="auto"/>
            </w:tcBorders>
            <w:shd w:val="clear" w:color="auto" w:fill="FFFFFF"/>
            <w:textDirection w:val="btL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Процент износа к строению</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2</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3</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4</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6</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7</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8</w:t>
            </w:r>
          </w:p>
        </w:tc>
      </w:tr>
      <w:tr w:rsidR="00853980" w:rsidTr="009F4FA6">
        <w:trPr>
          <w:trHeight w:val="643"/>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Фундамент</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Железобетонный ленточный монолитный ростверк на свайном основании</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7,0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7,58</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0,40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Стены</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Железобетонные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16,0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17,32</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0,90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Перегородки</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Гипсокартонные; Кирпичные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5,41</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0,30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Перекрытия</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17,0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18,40</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0,90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Подвальные</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Железобетонные сборные плиты</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Междуэтажные</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Железобетонные сборные плиты</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Чердачные</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Железобетонные сборные плиты</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10368" w:type="dxa"/>
            <w:gridSpan w:val="8"/>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Крыша</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Кровля</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Кровля рулонная</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0,10</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Конструкция крыши</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9"/>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Элементы крыши</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Покрытие</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9"/>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Полы</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Бетонные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6,0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6,49</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0,30</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Проемы</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9,0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9,74</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0,50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Двери</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Распашные филенчатые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Окна</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Пластиковые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Отделка</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638"/>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Внутренняя</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Внутренняя отделка простая; Окраска стен; Штукатурка потолков; Штукатурка стен</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11,0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11,90</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0,60</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Наружная</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9"/>
        </w:trPr>
        <w:tc>
          <w:tcPr>
            <w:tcW w:w="10368" w:type="dxa"/>
            <w:gridSpan w:val="8"/>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Инженерные системы и элементы благоустройства</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Газоснабжение</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Электроснабжение</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Скрытая проводка</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3.1</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3,32</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0,20</w:t>
            </w:r>
          </w:p>
        </w:tc>
      </w:tr>
      <w:tr w:rsidR="00853980" w:rsidTr="009F4FA6">
        <w:trPr>
          <w:trHeight w:val="250"/>
        </w:trPr>
        <w:tc>
          <w:tcPr>
            <w:tcW w:w="10368" w:type="dxa"/>
            <w:gridSpan w:val="8"/>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Санитарно-технические устройства</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Вентиляция</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Естественная</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0,3</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1,07</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0,30</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Водопровод</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Канализация</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Центральная бытовая</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2,0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2,12</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0,10</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ГВС</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Центральное с ваннами</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2,2</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2,38</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0,10</w:t>
            </w:r>
          </w:p>
        </w:tc>
      </w:tr>
      <w:tr w:rsidR="00853980" w:rsidTr="009F4FA6">
        <w:trPr>
          <w:trHeight w:val="442"/>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Мусоропровод</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Мусоропровод на лестничной клетке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0,1</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1,10</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0,11</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442"/>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Отопление</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Центральное от ТЭЦ на газе, мазуте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3,5</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3,78</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0,20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Прочие устр-ва</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4"/>
        </w:trPr>
        <w:tc>
          <w:tcPr>
            <w:tcW w:w="10368" w:type="dxa"/>
            <w:gridSpan w:val="8"/>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Электротехнические устройства</w:t>
            </w:r>
          </w:p>
        </w:tc>
      </w:tr>
      <w:tr w:rsidR="00853980" w:rsidTr="009F4FA6">
        <w:trPr>
          <w:trHeight w:val="259"/>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Лифт</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Лифт</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Напольные эл.плиты</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Радио</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9"/>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Система оповещения</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78"/>
        </w:trPr>
        <w:tc>
          <w:tcPr>
            <w:tcW w:w="2069"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Телефон</w:t>
            </w:r>
          </w:p>
        </w:tc>
        <w:tc>
          <w:tcPr>
            <w:tcW w:w="2722"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Телефон</w:t>
            </w:r>
          </w:p>
        </w:tc>
        <w:tc>
          <w:tcPr>
            <w:tcW w:w="1886"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0,2</w:t>
            </w:r>
          </w:p>
        </w:tc>
        <w:tc>
          <w:tcPr>
            <w:tcW w:w="677"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1,10</w:t>
            </w:r>
          </w:p>
        </w:tc>
        <w:tc>
          <w:tcPr>
            <w:tcW w:w="792"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0,22</w:t>
            </w:r>
          </w:p>
        </w:tc>
        <w:tc>
          <w:tcPr>
            <w:tcW w:w="725"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bl>
    <w:p w:rsidR="00853980" w:rsidRDefault="00853980" w:rsidP="00853980">
      <w:pPr>
        <w:rPr>
          <w:sz w:val="2"/>
          <w:szCs w:val="2"/>
        </w:rPr>
      </w:pPr>
    </w:p>
    <w:p w:rsidR="00853980" w:rsidRDefault="00853980" w:rsidP="00853980">
      <w:pPr>
        <w:widowControl/>
        <w:spacing w:after="200" w:line="276" w:lineRule="auto"/>
        <w:jc w:val="center"/>
        <w:rPr>
          <w:rFonts w:ascii="Times New Roman" w:eastAsiaTheme="minorEastAsia" w:hAnsi="Times New Roman" w:cs="Times New Roman"/>
          <w:b/>
          <w:color w:val="auto"/>
          <w:sz w:val="20"/>
          <w:szCs w:val="20"/>
        </w:rPr>
      </w:pPr>
    </w:p>
    <w:p w:rsidR="00853980" w:rsidRDefault="00853980" w:rsidP="00853980">
      <w:pPr>
        <w:widowControl/>
        <w:spacing w:after="200" w:line="276" w:lineRule="auto"/>
        <w:rPr>
          <w:rFonts w:ascii="Times New Roman" w:eastAsiaTheme="minorEastAsia" w:hAnsi="Times New Roman" w:cs="Times New Roman"/>
          <w:b/>
          <w:color w:val="auto"/>
          <w:sz w:val="22"/>
          <w:szCs w:val="22"/>
        </w:rPr>
      </w:pPr>
    </w:p>
    <w:p w:rsidR="00853980" w:rsidRDefault="00853980" w:rsidP="00853980">
      <w:pPr>
        <w:widowControl/>
        <w:spacing w:after="200" w:line="276" w:lineRule="auto"/>
        <w:rPr>
          <w:rFonts w:ascii="Times New Roman" w:eastAsiaTheme="minorEastAsia" w:hAnsi="Times New Roman" w:cs="Times New Roman"/>
          <w:b/>
          <w:color w:val="auto"/>
          <w:sz w:val="22"/>
          <w:szCs w:val="22"/>
        </w:rPr>
      </w:pPr>
    </w:p>
    <w:p w:rsidR="00853980" w:rsidRDefault="00853980" w:rsidP="00853980">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w:t>
      </w:r>
    </w:p>
    <w:p w:rsidR="00853980" w:rsidRDefault="00853980" w:rsidP="00323658">
      <w:pPr>
        <w:rPr>
          <w:rFonts w:ascii="Times New Roman" w:eastAsia="Times New Roman" w:hAnsi="Times New Roman" w:cs="Times New Roman"/>
          <w:bCs/>
          <w:sz w:val="22"/>
          <w:szCs w:val="22"/>
        </w:rPr>
      </w:pPr>
    </w:p>
    <w:p w:rsidR="00853980" w:rsidRDefault="00853980" w:rsidP="00323658">
      <w:pPr>
        <w:rPr>
          <w:rFonts w:ascii="Times New Roman" w:eastAsia="Times New Roman" w:hAnsi="Times New Roman" w:cs="Times New Roman"/>
          <w:bCs/>
          <w:sz w:val="22"/>
          <w:szCs w:val="22"/>
        </w:rPr>
      </w:pP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853980" w:rsidRDefault="00853980" w:rsidP="00323658">
      <w:pPr>
        <w:pStyle w:val="a9"/>
        <w:jc w:val="center"/>
        <w:rPr>
          <w:rFonts w:ascii="Times New Roman" w:hAnsi="Times New Roman" w:cs="Times New Roman"/>
          <w:b/>
          <w:noProof/>
          <w:sz w:val="20"/>
          <w:szCs w:val="20"/>
          <w:lang w:eastAsia="ru-RU"/>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bookmarkStart w:id="3" w:name="_GoBack"/>
      <w:bookmarkEnd w:id="3"/>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7A7DDF" w:rsidRDefault="007A7DDF"/>
    <w:sectPr w:rsidR="007A7DDF"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CB7" w:rsidRDefault="00251CB7" w:rsidP="00B3353C">
      <w:r>
        <w:separator/>
      </w:r>
    </w:p>
  </w:endnote>
  <w:endnote w:type="continuationSeparator" w:id="1">
    <w:p w:rsidR="00251CB7" w:rsidRDefault="00251CB7" w:rsidP="00B33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CB7" w:rsidRDefault="00251CB7" w:rsidP="00B3353C">
      <w:r>
        <w:separator/>
      </w:r>
    </w:p>
  </w:footnote>
  <w:footnote w:type="continuationSeparator" w:id="1">
    <w:p w:rsidR="00251CB7" w:rsidRDefault="00251CB7" w:rsidP="00B33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447DE"/>
    <w:rsid w:val="000A0567"/>
    <w:rsid w:val="000C40DC"/>
    <w:rsid w:val="00251CB7"/>
    <w:rsid w:val="00260061"/>
    <w:rsid w:val="002C10E2"/>
    <w:rsid w:val="00323658"/>
    <w:rsid w:val="003F6EBD"/>
    <w:rsid w:val="004171C8"/>
    <w:rsid w:val="00451947"/>
    <w:rsid w:val="006D2A48"/>
    <w:rsid w:val="007A7DDF"/>
    <w:rsid w:val="00853980"/>
    <w:rsid w:val="00B03508"/>
    <w:rsid w:val="00B3353C"/>
    <w:rsid w:val="00B5120F"/>
    <w:rsid w:val="00C43E56"/>
    <w:rsid w:val="00CC4A8F"/>
    <w:rsid w:val="00D65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character" w:customStyle="1" w:styleId="aa">
    <w:name w:val="Основной текст_"/>
    <w:basedOn w:val="a0"/>
    <w:link w:val="1"/>
    <w:locked/>
    <w:rsid w:val="00853980"/>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aa"/>
    <w:rsid w:val="00853980"/>
    <w:pPr>
      <w:shd w:val="clear" w:color="auto" w:fill="FFFFFF"/>
      <w:spacing w:line="374" w:lineRule="exact"/>
      <w:jc w:val="both"/>
    </w:pPr>
    <w:rPr>
      <w:rFonts w:ascii="Times New Roman" w:eastAsia="Times New Roman" w:hAnsi="Times New Roman" w:cs="Times New Roman"/>
      <w:color w:val="auto"/>
      <w:sz w:val="19"/>
      <w:szCs w:val="19"/>
      <w:lang w:eastAsia="en-US"/>
    </w:rPr>
  </w:style>
  <w:style w:type="character" w:customStyle="1" w:styleId="7pt">
    <w:name w:val="Основной текст + 7 pt"/>
    <w:basedOn w:val="aa"/>
    <w:rsid w:val="00853980"/>
    <w:rPr>
      <w:color w:val="000000"/>
      <w:spacing w:val="0"/>
      <w:w w:val="100"/>
      <w:position w:val="0"/>
      <w:sz w:val="14"/>
      <w:szCs w:val="14"/>
      <w:lang w:val="ru-RU" w:eastAsia="ru-RU" w:bidi="ru-RU"/>
    </w:rPr>
  </w:style>
  <w:style w:type="table" w:styleId="ab">
    <w:name w:val="Table Grid"/>
    <w:basedOn w:val="a1"/>
    <w:uiPriority w:val="59"/>
    <w:rsid w:val="0085398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ktrcompani@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20447-EE0E-4975-9EA7-4B9506DB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12077</Words>
  <Characters>68845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dcterms:created xsi:type="dcterms:W3CDTF">2015-02-02T09:17:00Z</dcterms:created>
  <dcterms:modified xsi:type="dcterms:W3CDTF">2015-02-02T09:17:00Z</dcterms:modified>
</cp:coreProperties>
</file>