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4233"/>
      </w:tblGrid>
      <w:tr w:rsidR="00300F19" w:rsidRPr="00556D80" w:rsidTr="008169B1">
        <w:trPr>
          <w:trHeight w:val="4050"/>
        </w:trPr>
        <w:tc>
          <w:tcPr>
            <w:tcW w:w="5121" w:type="dxa"/>
            <w:shd w:val="clear" w:color="auto" w:fill="auto"/>
          </w:tcPr>
          <w:p w:rsidR="00300F19" w:rsidRPr="00E1586F" w:rsidRDefault="00300F19" w:rsidP="008169B1">
            <w:r>
              <w:t xml:space="preserve">    </w:t>
            </w:r>
            <w:r w:rsidRPr="00E1586F">
              <w:t>Общество с ограниченной ответственностью</w:t>
            </w:r>
          </w:p>
          <w:p w:rsidR="00300F19" w:rsidRDefault="00300F19" w:rsidP="008169B1">
            <w:pPr>
              <w:jc w:val="center"/>
              <w:rPr>
                <w:b/>
              </w:rPr>
            </w:pPr>
            <w:r w:rsidRPr="00560A11">
              <w:rPr>
                <w:b/>
              </w:rPr>
              <w:t>ХОЛДИНГОВАЯ КОМПАНИЯ</w:t>
            </w:r>
          </w:p>
          <w:p w:rsidR="00300F19" w:rsidRPr="005C6B78" w:rsidRDefault="00300F19" w:rsidP="008169B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E1B708" wp14:editId="5F377709">
                      <wp:extent cx="3108960" cy="958850"/>
                      <wp:effectExtent l="3810" t="0" r="1905" b="0"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108960" cy="95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0F19" w:rsidRPr="00FC4F95" w:rsidRDefault="00300F19" w:rsidP="00300F19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74202">
                                    <w:rPr>
                                      <w:rFonts w:ascii="Impact" w:hAnsi="Impact"/>
                                      <w:color w:val="333333"/>
                                      <w:sz w:val="56"/>
                                      <w:szCs w:val="56"/>
                                    </w:rPr>
                                    <w:t>КОММУНАЛЬНЫЕ</w:t>
                                  </w:r>
                                </w:p>
                                <w:p w:rsidR="00300F19" w:rsidRPr="00FC4F95" w:rsidRDefault="00300F19" w:rsidP="00300F19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74202">
                                    <w:rPr>
                                      <w:rFonts w:ascii="Impact" w:hAnsi="Impact"/>
                                      <w:color w:val="333333"/>
                                      <w:sz w:val="56"/>
                                      <w:szCs w:val="56"/>
                                    </w:rPr>
                                    <w:t>СИСТЕМЫ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E1B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width:244.8pt;height: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300F19" w:rsidRPr="00FC4F95" w:rsidRDefault="00300F19" w:rsidP="00300F1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74202">
                              <w:rPr>
                                <w:rFonts w:ascii="Impact" w:hAnsi="Impact"/>
                                <w:color w:val="333333"/>
                                <w:sz w:val="56"/>
                                <w:szCs w:val="56"/>
                              </w:rPr>
                              <w:t>КОММУНАЛЬНЫЕ</w:t>
                            </w:r>
                          </w:p>
                          <w:p w:rsidR="00300F19" w:rsidRPr="00FC4F95" w:rsidRDefault="00300F19" w:rsidP="00300F1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74202">
                              <w:rPr>
                                <w:rFonts w:ascii="Impact" w:hAnsi="Impact"/>
                                <w:color w:val="333333"/>
                                <w:sz w:val="56"/>
                                <w:szCs w:val="56"/>
                              </w:rPr>
                              <w:t>СИСТЕМЫ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00F19" w:rsidRPr="00560A11" w:rsidRDefault="00300F19" w:rsidP="008169B1">
            <w:pPr>
              <w:jc w:val="center"/>
            </w:pPr>
            <w:r>
              <w:t>ИНН 3808211880, ОГРН 1103850001518</w:t>
            </w:r>
          </w:p>
          <w:p w:rsidR="00300F19" w:rsidRPr="00560A11" w:rsidRDefault="00300F19" w:rsidP="008169B1">
            <w:pPr>
              <w:jc w:val="center"/>
              <w:rPr>
                <w:sz w:val="20"/>
                <w:szCs w:val="20"/>
              </w:rPr>
            </w:pPr>
            <w:r w:rsidRPr="00560A11">
              <w:rPr>
                <w:sz w:val="20"/>
                <w:szCs w:val="20"/>
              </w:rPr>
              <w:t>Юр.адрес 664025, г. Иркутск, ул. Чкалова 33</w:t>
            </w:r>
          </w:p>
          <w:p w:rsidR="00300F19" w:rsidRPr="00560A11" w:rsidRDefault="00300F19" w:rsidP="008169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Почт.адрес</w:t>
            </w:r>
            <w:proofErr w:type="spellEnd"/>
            <w:r>
              <w:rPr>
                <w:sz w:val="20"/>
                <w:szCs w:val="20"/>
              </w:rPr>
              <w:t xml:space="preserve"> 664039</w:t>
            </w:r>
            <w:r w:rsidRPr="00560A11">
              <w:rPr>
                <w:sz w:val="20"/>
                <w:szCs w:val="20"/>
              </w:rPr>
              <w:t xml:space="preserve"> г. Иркутск, ул. Гоголя, 53</w:t>
            </w:r>
          </w:p>
          <w:p w:rsidR="00300F19" w:rsidRPr="00560A11" w:rsidRDefault="00300F19" w:rsidP="008169B1">
            <w:pPr>
              <w:jc w:val="center"/>
              <w:rPr>
                <w:sz w:val="20"/>
                <w:szCs w:val="20"/>
              </w:rPr>
            </w:pPr>
            <w:r w:rsidRPr="00560A11">
              <w:rPr>
                <w:sz w:val="20"/>
                <w:szCs w:val="20"/>
              </w:rPr>
              <w:t>Тел/факс. (3952) 38-73-02</w:t>
            </w:r>
          </w:p>
          <w:p w:rsidR="00300F19" w:rsidRPr="009C6A97" w:rsidRDefault="00933DA5" w:rsidP="008169B1">
            <w:pPr>
              <w:jc w:val="center"/>
              <w:rPr>
                <w:rStyle w:val="a3"/>
                <w:sz w:val="20"/>
                <w:szCs w:val="20"/>
              </w:rPr>
            </w:pPr>
            <w:hyperlink r:id="rId5" w:history="1">
              <w:r w:rsidR="00300F19" w:rsidRPr="00086050">
                <w:rPr>
                  <w:rStyle w:val="a3"/>
                  <w:sz w:val="20"/>
                  <w:szCs w:val="20"/>
                  <w:lang w:val="en-US"/>
                </w:rPr>
                <w:t>hkms</w:t>
              </w:r>
              <w:r w:rsidR="00300F19" w:rsidRPr="00086050">
                <w:rPr>
                  <w:rStyle w:val="a3"/>
                  <w:sz w:val="20"/>
                  <w:szCs w:val="20"/>
                </w:rPr>
                <w:t>@</w:t>
              </w:r>
              <w:r w:rsidR="00300F19" w:rsidRPr="00086050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300F19" w:rsidRPr="0008605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300F19" w:rsidRPr="0008605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00F19" w:rsidRPr="007F73CA" w:rsidRDefault="00300F19" w:rsidP="008169B1">
            <w:pPr>
              <w:jc w:val="center"/>
              <w:rPr>
                <w:sz w:val="20"/>
                <w:szCs w:val="20"/>
              </w:rPr>
            </w:pPr>
          </w:p>
          <w:p w:rsidR="00300F19" w:rsidRDefault="00300F19" w:rsidP="008169B1">
            <w:pPr>
              <w:rPr>
                <w:b/>
                <w:sz w:val="20"/>
                <w:szCs w:val="20"/>
              </w:rPr>
            </w:pPr>
            <w:r w:rsidRPr="00560A11">
              <w:rPr>
                <w:b/>
                <w:sz w:val="20"/>
                <w:szCs w:val="20"/>
              </w:rPr>
              <w:t>Исх.№</w:t>
            </w:r>
            <w:r>
              <w:rPr>
                <w:b/>
                <w:sz w:val="20"/>
                <w:szCs w:val="20"/>
              </w:rPr>
              <w:t>3 от 11.01.2020 года</w:t>
            </w:r>
          </w:p>
          <w:p w:rsidR="00300F19" w:rsidRDefault="00300F19" w:rsidP="00816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Ваше заявление от 09.01.2019 года</w:t>
            </w:r>
          </w:p>
          <w:p w:rsidR="00300F19" w:rsidRPr="007C51BD" w:rsidRDefault="00300F19" w:rsidP="008169B1">
            <w:pPr>
              <w:rPr>
                <w:b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</w:tcPr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00F19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И.И.Бучис</w:t>
            </w:r>
            <w:proofErr w:type="spellEnd"/>
          </w:p>
          <w:p w:rsidR="00300F19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Иркутск, ул. Баумана, д.233/10, кв. 66</w:t>
            </w:r>
          </w:p>
          <w:p w:rsidR="00300F19" w:rsidRPr="00556D80" w:rsidRDefault="00300F19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</w:tc>
      </w:tr>
    </w:tbl>
    <w:p w:rsidR="00300F19" w:rsidRDefault="00300F19" w:rsidP="00300F19"/>
    <w:p w:rsidR="00300F19" w:rsidRDefault="00300F19" w:rsidP="00300F19">
      <w:pPr>
        <w:jc w:val="center"/>
      </w:pPr>
      <w:r>
        <w:t>Уважаемый Иван Иванович</w:t>
      </w:r>
    </w:p>
    <w:p w:rsidR="00300F19" w:rsidRDefault="00300F19" w:rsidP="00300F19">
      <w:pPr>
        <w:jc w:val="center"/>
      </w:pP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1C04F7">
        <w:rPr>
          <w:rFonts w:ascii="Times New Roman" w:hAnsi="Times New Roman"/>
          <w:sz w:val="24"/>
          <w:szCs w:val="24"/>
        </w:rPr>
        <w:t>Начисление платы за коммунальную услугу по отоплению регулируется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65085B">
        <w:rPr>
          <w:rFonts w:ascii="Times New Roman" w:hAnsi="Times New Roman"/>
          <w:sz w:val="24"/>
          <w:szCs w:val="24"/>
        </w:rPr>
        <w:t>354</w:t>
      </w:r>
      <w:r w:rsidRPr="001C04F7">
        <w:rPr>
          <w:rFonts w:ascii="Times New Roman" w:hAnsi="Times New Roman"/>
          <w:sz w:val="24"/>
          <w:szCs w:val="24"/>
        </w:rPr>
        <w:t xml:space="preserve"> (далее по тексту письма Правила 354).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июле 2019 года принят в эксплуатацию общедомовый прибор учета (далее – ОПУ). С этого момента, а точнее с начала отопительного периода 2019-2020 гг., начисление платы за коммунальную услугу по отоплению производится исходя из фактических объемов тепловой энергии, определенных по показаниям ОПУ.</w:t>
      </w: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Вашего дома, оснащенного общедомовым прибором учета и все помещения в котором оснащены индивидуальными  приборами учета тепловой энергии  (далее по тексту письма  - ИПУ)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для расчета платы за отопление применяется в соответствии с п. 42(1) Правил 354 формула </w:t>
      </w:r>
    </w:p>
    <w:p w:rsidR="00300F19" w:rsidRDefault="00300F19" w:rsidP="00300F19">
      <w:pPr>
        <w:pStyle w:val="sourcetag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 wp14:anchorId="6DDE78E5" wp14:editId="0AD0E739">
            <wp:extent cx="1657350" cy="485775"/>
            <wp:effectExtent l="0" t="0" r="0" b="9525"/>
            <wp:docPr id="11" name="Рисунок 11" descr="C:\Users\user\AppData\Local\Microsoft\Windows\INetCache\Content.MSO\7E6B12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MSO\7E6B128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3"/>
          <w:szCs w:val="23"/>
        </w:rPr>
        <w:t>,</w:t>
      </w:r>
    </w:p>
    <w:p w:rsidR="00300F19" w:rsidRDefault="00300F19" w:rsidP="00300F19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где:</w:t>
      </w:r>
    </w:p>
    <w:p w:rsidR="00300F19" w:rsidRPr="00393AA0" w:rsidRDefault="00300F19" w:rsidP="00300F19">
      <w:pPr>
        <w:pStyle w:val="sourcetag"/>
        <w:spacing w:before="240" w:beforeAutospacing="0" w:after="240" w:afterAutospacing="0"/>
        <w:jc w:val="both"/>
        <w:rPr>
          <w:color w:val="000000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0B433D44" wp14:editId="2D921F17">
            <wp:extent cx="219075" cy="247650"/>
            <wp:effectExtent l="0" t="0" r="9525" b="0"/>
            <wp:docPr id="12" name="Рисунок 12" descr="C:\Users\user\AppData\Local\Microsoft\Windows\INetCache\Content.MSO\C083AD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MSO\C083ADC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 - </w:t>
      </w:r>
      <w:r w:rsidRPr="00393AA0">
        <w:rPr>
          <w:color w:val="000000"/>
        </w:rPr>
        <w:t>объем (количество) потребленной за расчетный период в i-м жилом или нежилом помещении 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индивидуального или общего (квартирного) прибора учета в i-м жилом или нежилом помещении, а при оплате равномерно в течение календарного года - исходя из среднемесячного объема потребления тепловой энергии на отопление в i-м жилом или нежилом помещении по показаниям индивидуального или общего (квартирного) прибора учета за предыдущий год;</w:t>
      </w:r>
      <w:r>
        <w:rPr>
          <w:color w:val="000000"/>
        </w:rPr>
        <w:t xml:space="preserve"> </w:t>
      </w:r>
      <w:r>
        <w:rPr>
          <w:rFonts w:ascii="Arial" w:hAnsi="Arial" w:cs="Arial"/>
          <w:noProof/>
          <w:color w:val="333333"/>
        </w:rPr>
        <w:drawing>
          <wp:inline distT="0" distB="0" distL="0" distR="0" wp14:anchorId="59BF7079" wp14:editId="204AB7DD">
            <wp:extent cx="304800" cy="247650"/>
            <wp:effectExtent l="0" t="0" r="0" b="0"/>
            <wp:docPr id="13" name="Рисунок 13" descr="C:\Users\user\AppData\Local\Microsoft\Windows\INetCache\Content.MSO\C21C71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C21C71B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 - </w:t>
      </w:r>
      <w:r w:rsidRPr="00393AA0">
        <w:rPr>
          <w:color w:val="000000"/>
        </w:rPr>
        <w:t xml:space="preserve">объем (количество) тепловой энергии, предоставленный за расчетный период в многоквартирный дом, оборудованный коллективным (общедомовым) </w:t>
      </w:r>
      <w:r w:rsidRPr="00393AA0">
        <w:rPr>
          <w:color w:val="000000"/>
        </w:rPr>
        <w:lastRenderedPageBreak/>
        <w:t>прибором учета тепловой энергии, за исключением объема (количества) тепловой энергии, потребленного во всех жилых или нежилых помещениях в многоквартирном доме, который определяется по формуле:</w:t>
      </w:r>
    </w:p>
    <w:p w:rsidR="00300F19" w:rsidRDefault="00300F19" w:rsidP="00300F19">
      <w:pPr>
        <w:pStyle w:val="sourcetag"/>
        <w:spacing w:before="240" w:beforeAutospacing="0" w:after="24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6D7C4DF5" wp14:editId="54C7A471">
            <wp:extent cx="1066800" cy="304800"/>
            <wp:effectExtent l="0" t="0" r="0" b="0"/>
            <wp:docPr id="14" name="Рисунок 14" descr="C:\Users\user\AppData\Local\Microsoft\Windows\INetCache\Content.MSO\F46F51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MSO\F46F51D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3"/>
          <w:szCs w:val="23"/>
        </w:rPr>
        <w:t>,</w:t>
      </w:r>
    </w:p>
    <w:p w:rsidR="00300F19" w:rsidRDefault="00300F19" w:rsidP="00300F19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где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393AA0">
        <w:rPr>
          <w:color w:val="000000"/>
        </w:rPr>
        <w:t>объем (количество) потребленной за расчетный период в многоквартирном доме тепловой энергии, определенный при осуществлении оплаты коммунальной услуги по отоплению в течение отопительного сезона по показаниям коллективного (общедомового) прибора учета,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по показаниям коллективного (общедомового) прибора учета за предыдущий год;</w:t>
      </w:r>
    </w:p>
    <w:p w:rsidR="00300F19" w:rsidRDefault="00300F19" w:rsidP="00300F19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393AA0">
        <w:rPr>
          <w:color w:val="000000"/>
        </w:rPr>
        <w:t>общая площадь i-</w:t>
      </w:r>
      <w:proofErr w:type="spellStart"/>
      <w:r w:rsidRPr="00393AA0">
        <w:rPr>
          <w:color w:val="000000"/>
        </w:rPr>
        <w:t>го</w:t>
      </w:r>
      <w:proofErr w:type="spellEnd"/>
      <w:r w:rsidRPr="00393AA0">
        <w:rPr>
          <w:color w:val="000000"/>
        </w:rPr>
        <w:t xml:space="preserve"> помещения (жилого или нежилого) в многоквартирном доме</w:t>
      </w:r>
      <w:r>
        <w:rPr>
          <w:rFonts w:ascii="Arial" w:hAnsi="Arial" w:cs="Arial"/>
          <w:color w:val="000000"/>
          <w:sz w:val="23"/>
          <w:szCs w:val="23"/>
        </w:rPr>
        <w:t>;</w:t>
      </w:r>
    </w:p>
    <w:p w:rsidR="00300F19" w:rsidRPr="00393AA0" w:rsidRDefault="00300F19" w:rsidP="00300F19">
      <w:pPr>
        <w:pStyle w:val="sourcetag"/>
        <w:spacing w:before="240" w:beforeAutospacing="0" w:after="240" w:afterAutospacing="0"/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Sоб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393AA0">
        <w:rPr>
          <w:color w:val="000000"/>
        </w:rPr>
        <w:t>общая площадь всех жилых и нежилых помещений в многоквартирном доме;</w:t>
      </w:r>
    </w:p>
    <w:p w:rsidR="00300F19" w:rsidRDefault="00300F19" w:rsidP="00300F19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TT - </w:t>
      </w:r>
      <w:r w:rsidRPr="00393AA0">
        <w:rPr>
          <w:color w:val="000000"/>
        </w:rPr>
        <w:t>тариф на тепловую энергию, установленный в соответствии с законодательством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Данные, используемые в формуле для расчета платы за коммунальную услугу по отоплению, отражаются в платежном документе в соответствующих строках и графах. </w:t>
      </w:r>
      <w:proofErr w:type="gramStart"/>
      <w:r>
        <w:rPr>
          <w:rFonts w:ascii="Times New Roman" w:hAnsi="Times New Roman"/>
          <w:sz w:val="24"/>
          <w:szCs w:val="24"/>
        </w:rPr>
        <w:t xml:space="preserve">Например, в платежном документе </w:t>
      </w:r>
      <w:r w:rsidRPr="005F5C8F">
        <w:rPr>
          <w:rFonts w:ascii="Times New Roman" w:hAnsi="Times New Roman"/>
          <w:b/>
          <w:bCs/>
          <w:sz w:val="24"/>
          <w:szCs w:val="24"/>
          <w:u w:val="single"/>
        </w:rPr>
        <w:t>за ноябрь 2019</w:t>
      </w:r>
      <w:r>
        <w:rPr>
          <w:rFonts w:ascii="Times New Roman" w:hAnsi="Times New Roman"/>
          <w:sz w:val="24"/>
          <w:szCs w:val="24"/>
        </w:rPr>
        <w:t xml:space="preserve"> года в графе 5 раздела 4 «Справочная информация» отражен </w:t>
      </w: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 wp14:anchorId="09FC6762" wp14:editId="3316D665">
            <wp:extent cx="304800" cy="247650"/>
            <wp:effectExtent l="0" t="0" r="0" b="0"/>
            <wp:docPr id="22" name="Рисунок 22" descr="C:\Users\user\AppData\Local\Microsoft\Windows\INetCache\Content.MSO\C21C71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C21C71B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- 145,487 Гкал,  в графе 7 по той же строке – объем тепловой энергии на отопление общего имущества в МКД – 64,083 Гкал,  строкой ниже  в графе 6 отражен  суммарный расход тепловой энергии на отопление в помещениях дома – 81,404</w:t>
      </w:r>
      <w:r>
        <w:rPr>
          <w:rFonts w:ascii="Arial" w:hAnsi="Arial" w:cs="Arial"/>
          <w:color w:val="000000"/>
          <w:sz w:val="23"/>
          <w:szCs w:val="23"/>
        </w:rPr>
        <w:t xml:space="preserve"> . </w:t>
      </w:r>
      <w:r>
        <w:rPr>
          <w:rFonts w:ascii="Times New Roman" w:hAnsi="Times New Roman"/>
          <w:color w:val="000000"/>
          <w:sz w:val="24"/>
          <w:szCs w:val="24"/>
        </w:rPr>
        <w:t xml:space="preserve">Тариф за тепловую энергию -1392,91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/Гкал  - отражен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соответствующей строке в графе 5 раздела 3 платежного документа. Аналогично информация размещена в платежных документах за каждый расчетный период.</w:t>
      </w: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CD0362">
        <w:rPr>
          <w:rFonts w:ascii="Times New Roman" w:hAnsi="Times New Roman"/>
          <w:color w:val="000000"/>
          <w:sz w:val="24"/>
          <w:szCs w:val="24"/>
        </w:rPr>
        <w:t xml:space="preserve">Расчет </w:t>
      </w:r>
      <w:r>
        <w:rPr>
          <w:rFonts w:ascii="Times New Roman" w:hAnsi="Times New Roman"/>
          <w:color w:val="000000"/>
          <w:sz w:val="24"/>
          <w:szCs w:val="24"/>
        </w:rPr>
        <w:t xml:space="preserve">начислений платы </w:t>
      </w:r>
      <w:r w:rsidRPr="00CD0362">
        <w:rPr>
          <w:rFonts w:ascii="Times New Roman" w:hAnsi="Times New Roman"/>
          <w:color w:val="000000"/>
          <w:sz w:val="24"/>
          <w:szCs w:val="24"/>
        </w:rPr>
        <w:t>за коммунальную услугу по отоплению за ноябрь 2019 года подробно по всему дому приведен в приложении № 1 к настоящему письму</w:t>
      </w: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В платежном документе </w:t>
      </w:r>
      <w:r w:rsidRPr="005F5C8F">
        <w:rPr>
          <w:rFonts w:ascii="Times New Roman" w:hAnsi="Times New Roman"/>
          <w:b/>
          <w:bCs/>
          <w:sz w:val="24"/>
          <w:szCs w:val="24"/>
          <w:u w:val="single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декабрь</w:t>
      </w:r>
      <w:r w:rsidRPr="005F5C8F">
        <w:rPr>
          <w:rFonts w:ascii="Times New Roman" w:hAnsi="Times New Roman"/>
          <w:b/>
          <w:bCs/>
          <w:sz w:val="24"/>
          <w:szCs w:val="24"/>
          <w:u w:val="single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года в графе 5 раздела 4 «Справочная информация» отражен </w:t>
      </w: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 wp14:anchorId="0E2BB896" wp14:editId="3E550871">
            <wp:extent cx="304800" cy="247650"/>
            <wp:effectExtent l="0" t="0" r="0" b="0"/>
            <wp:docPr id="23" name="Рисунок 23" descr="C:\Users\user\AppData\Local\Microsoft\Windows\INetCache\Content.MSO\C21C71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C21C71B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- 210,32 Гкал,  в графе 7 по той же строке – объем тепловой энергии на отопление общего имущества в МКД – 212,083 Гкал,  строкой ниже  в графе 6 отражен  суммарный расход тепловой энергии на отопление в помещениях дома – (-1,763)</w:t>
      </w:r>
      <w:r>
        <w:rPr>
          <w:rFonts w:ascii="Arial" w:hAnsi="Arial" w:cs="Arial"/>
          <w:color w:val="000000"/>
          <w:sz w:val="23"/>
          <w:szCs w:val="23"/>
        </w:rPr>
        <w:t xml:space="preserve"> . </w:t>
      </w:r>
    </w:p>
    <w:p w:rsidR="00300F19" w:rsidRDefault="00300F19" w:rsidP="00300F19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CD0362">
        <w:rPr>
          <w:rFonts w:ascii="Times New Roman" w:hAnsi="Times New Roman"/>
          <w:color w:val="000000"/>
          <w:sz w:val="24"/>
          <w:szCs w:val="24"/>
        </w:rPr>
        <w:t xml:space="preserve">Расчет </w:t>
      </w:r>
      <w:r>
        <w:rPr>
          <w:rFonts w:ascii="Times New Roman" w:hAnsi="Times New Roman"/>
          <w:color w:val="000000"/>
          <w:sz w:val="24"/>
          <w:szCs w:val="24"/>
        </w:rPr>
        <w:t xml:space="preserve">начислений платы </w:t>
      </w:r>
      <w:r w:rsidRPr="00CD0362">
        <w:rPr>
          <w:rFonts w:ascii="Times New Roman" w:hAnsi="Times New Roman"/>
          <w:color w:val="000000"/>
          <w:sz w:val="24"/>
          <w:szCs w:val="24"/>
        </w:rPr>
        <w:t xml:space="preserve">за коммунальную услугу по отоплению за </w:t>
      </w:r>
      <w:r>
        <w:rPr>
          <w:rFonts w:ascii="Times New Roman" w:hAnsi="Times New Roman"/>
          <w:color w:val="000000"/>
          <w:sz w:val="24"/>
          <w:szCs w:val="24"/>
        </w:rPr>
        <w:t>декабрь</w:t>
      </w:r>
      <w:r w:rsidRPr="00CD0362">
        <w:rPr>
          <w:rFonts w:ascii="Times New Roman" w:hAnsi="Times New Roman"/>
          <w:color w:val="000000"/>
          <w:sz w:val="24"/>
          <w:szCs w:val="24"/>
        </w:rPr>
        <w:t xml:space="preserve"> 2019 года подробно по всему дому приведен в приложении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D0362">
        <w:rPr>
          <w:rFonts w:ascii="Times New Roman" w:hAnsi="Times New Roman"/>
          <w:color w:val="000000"/>
          <w:sz w:val="24"/>
          <w:szCs w:val="24"/>
        </w:rPr>
        <w:t xml:space="preserve"> к настоящему письму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300F19" w:rsidRPr="00D17E8E" w:rsidRDefault="00300F19" w:rsidP="00300F19">
      <w:pPr>
        <w:ind w:firstLine="720"/>
        <w:jc w:val="both"/>
        <w:rPr>
          <w:color w:val="000000"/>
        </w:rPr>
      </w:pPr>
      <w:r>
        <w:rPr>
          <w:color w:val="000000"/>
        </w:rPr>
        <w:t>В прилагаемом расчете начислений платы за отопление за декабрь 2019 года с</w:t>
      </w:r>
      <w:r w:rsidRPr="00D17E8E">
        <w:rPr>
          <w:color w:val="000000"/>
        </w:rPr>
        <w:t>ледует обратить внимание  на графу 2, особенно на  строки по кв. 75 и итог</w:t>
      </w:r>
      <w:r>
        <w:rPr>
          <w:color w:val="000000"/>
        </w:rPr>
        <w:t>овую</w:t>
      </w:r>
      <w:r w:rsidRPr="00D17E8E">
        <w:rPr>
          <w:color w:val="000000"/>
        </w:rPr>
        <w:t xml:space="preserve">. Квартира № 75 два месяца подряд передавала некорректные показания прибора.  В декабре выполнена проверка  </w:t>
      </w:r>
      <w:r>
        <w:rPr>
          <w:color w:val="000000"/>
        </w:rPr>
        <w:t>ИПУ</w:t>
      </w:r>
      <w:r w:rsidRPr="00D17E8E">
        <w:rPr>
          <w:color w:val="000000"/>
        </w:rPr>
        <w:t xml:space="preserve">,  на основании уточненных данных  квартире выполнена корректировка  стоимости отопления. В целом по дому  в октябре и ноябре  из-за ошибки в квартире № 75   суммарное количество  тепловой энергии на индивидуальное  потребление   было больше фактического на 39,15 Гкал  в октябре и на 47,8 Гкал - в </w:t>
      </w:r>
      <w:r>
        <w:rPr>
          <w:color w:val="000000"/>
        </w:rPr>
        <w:t xml:space="preserve">ноябре. </w:t>
      </w:r>
      <w:r w:rsidRPr="00D17E8E">
        <w:rPr>
          <w:color w:val="000000"/>
        </w:rPr>
        <w:t>В те же периоды объем тепловой энергии на ОДН был ниже фактического, поскольку этот объем рассчитывается как разница между  объемом по ОПУ и суммарным расходом на индивидуальное потребление. В декабре 2019 года расход тепловой энергии на отопление по ОПУ составил 171,17 Гкал, но из-за ошибки в показаниях в квартире № 75 к объему за декабрь добавлены 39,15 Гкал за октябрь 2019 года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ноябрьская ошибка в показаниях в квартире № 75 отражена в расчете за декабрь по строке квартиры № 75. </w:t>
      </w:r>
      <w:r w:rsidRPr="00D17E8E">
        <w:rPr>
          <w:color w:val="000000"/>
        </w:rPr>
        <w:t xml:space="preserve"> Таким образом, расход тепловой энергии на отопление с учетом корректировки за октябрь составил  171,17+39,15=  210,32 Гкал.</w:t>
      </w:r>
    </w:p>
    <w:p w:rsidR="00300F19" w:rsidRDefault="00300F19" w:rsidP="00300F19">
      <w:pPr>
        <w:ind w:firstLine="720"/>
        <w:jc w:val="both"/>
      </w:pPr>
      <w:r>
        <w:t xml:space="preserve">Все помещения в доме оснащены индивидуальными  приборами учета. Законодатель не обязал потребителя передавать показания приборов учета, а лишь дал ему такое право (раздел </w:t>
      </w:r>
      <w:r>
        <w:rPr>
          <w:lang w:val="en-US"/>
        </w:rPr>
        <w:t>V</w:t>
      </w:r>
      <w:r>
        <w:t xml:space="preserve"> Правил 354). Наниматели  почти половины (51 квартира!) квартир в Вашем доме  за 2019 год ни за один месяц не передали показания ИПУ расхода тепловой энергии.  Начисление платы за коммунальную услугу по отоплению производится им, как и всем в доме, по формуле, указанной в настоящем письме выше (абзац 2 п 59(2) Правил 354). Другими словами, плата за отопление нанимателям пятидесяти одной квартиры начислена только по графе – общедомовые нужды.  При поступлении из таких квартир показаний ИПУ их индивидуальный расход тепловой энергии будет рассчитан как разница между поступившими показаниями и показаниями, зафиксированными в ИС на 01.05.2019 года.  То есть суммарный  расход тепловой энергии на индивидуальные нужды возрастет,  объем тепловой энергии на общедомовые нужды снизится. Все дело в дисциплине потребителей. В январе 2020 года  управляющая организация приступает к контрольным проверкам показаний  ИПУ </w:t>
      </w:r>
      <w:proofErr w:type="gramStart"/>
      <w:r>
        <w:t xml:space="preserve">( </w:t>
      </w:r>
      <w:proofErr w:type="gramEnd"/>
      <w:r>
        <w:t>абзац «г» п.32 Правил 354).</w:t>
      </w:r>
    </w:p>
    <w:p w:rsidR="00300F19" w:rsidRDefault="00300F19" w:rsidP="00300F19">
      <w:pPr>
        <w:jc w:val="both"/>
      </w:pPr>
      <w:r>
        <w:tab/>
      </w:r>
    </w:p>
    <w:p w:rsidR="00300F19" w:rsidRDefault="00300F19" w:rsidP="00300F19">
      <w:pPr>
        <w:jc w:val="both"/>
      </w:pPr>
      <w:r>
        <w:tab/>
        <w:t>Законодательно не предусмотрено выполнение перерасчетов платы за коммунальную услугу по отоплению потребителям в доме, где все помещения оснащены  ИПУ, дом оснащен ОПУ и расчет платы производится в отопительный период за фактически потребленный объем ресурса.</w:t>
      </w:r>
    </w:p>
    <w:p w:rsidR="00300F19" w:rsidRDefault="00300F19" w:rsidP="00300F19">
      <w:pPr>
        <w:ind w:firstLine="720"/>
        <w:jc w:val="both"/>
      </w:pPr>
      <w:r>
        <w:t>Приложения:</w:t>
      </w:r>
    </w:p>
    <w:p w:rsidR="00300F19" w:rsidRDefault="00300F19" w:rsidP="00300F19">
      <w:pPr>
        <w:ind w:firstLine="720"/>
        <w:jc w:val="both"/>
      </w:pPr>
      <w:r>
        <w:t>Приложения:</w:t>
      </w:r>
    </w:p>
    <w:p w:rsidR="00300F19" w:rsidRDefault="00300F19" w:rsidP="00300F19">
      <w:pPr>
        <w:ind w:firstLine="720"/>
        <w:jc w:val="both"/>
      </w:pPr>
      <w:r>
        <w:t>1. Расчет платы за коммунальную услугу по отоплению за ноябрь 2019 года по дому № 233/10 на ул. Баумана.</w:t>
      </w:r>
    </w:p>
    <w:p w:rsidR="00300F19" w:rsidRPr="00033D23" w:rsidRDefault="00300F19" w:rsidP="00300F19">
      <w:pPr>
        <w:ind w:firstLine="720"/>
        <w:jc w:val="both"/>
      </w:pPr>
      <w:r>
        <w:t>2. Расчет платы за коммунальную услугу по отоплению за декабрь 2019 года  по дому № 233/10 на ул. Баумана</w:t>
      </w:r>
    </w:p>
    <w:p w:rsidR="00300F19" w:rsidRDefault="00300F19" w:rsidP="00300F19"/>
    <w:p w:rsidR="00300F19" w:rsidRDefault="00300F19" w:rsidP="00300F19"/>
    <w:p w:rsidR="00300F19" w:rsidRDefault="00300F19" w:rsidP="00300F19">
      <w:pPr>
        <w:jc w:val="center"/>
      </w:pPr>
      <w:bookmarkStart w:id="0" w:name="_GoBack"/>
      <w:bookmarkEnd w:id="0"/>
    </w:p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300F19" w:rsidRDefault="00300F19" w:rsidP="00300F19"/>
    <w:p w:rsidR="00DA7B16" w:rsidRDefault="00DA7B16"/>
    <w:sectPr w:rsidR="00DA7B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19"/>
    <w:rsid w:val="00080A27"/>
    <w:rsid w:val="002F13E5"/>
    <w:rsid w:val="00300F19"/>
    <w:rsid w:val="00540064"/>
    <w:rsid w:val="00933DA5"/>
    <w:rsid w:val="00CE69F8"/>
    <w:rsid w:val="00DA7B16"/>
    <w:rsid w:val="00E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0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0F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0F1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ourcetag">
    <w:name w:val="source__tag"/>
    <w:basedOn w:val="a"/>
    <w:rsid w:val="00300F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0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0F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0F1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ourcetag">
    <w:name w:val="source__tag"/>
    <w:basedOn w:val="a"/>
    <w:rsid w:val="00300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hkm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2020-01-13T05:47:00Z</dcterms:created>
  <dcterms:modified xsi:type="dcterms:W3CDTF">2020-01-13T07:58:00Z</dcterms:modified>
</cp:coreProperties>
</file>