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9304"/>
      </w:tblGrid>
      <w:tr w:rsidR="00292FA9" w:rsidRPr="00292FA9" w:rsidTr="00292FA9">
        <w:trPr>
          <w:trHeight w:val="1125"/>
          <w:tblCellSpacing w:w="0" w:type="dxa"/>
        </w:trPr>
        <w:tc>
          <w:tcPr>
            <w:tcW w:w="0" w:type="auto"/>
            <w:hideMark/>
          </w:tcPr>
          <w:p w:rsidR="00292FA9" w:rsidRPr="00292FA9" w:rsidRDefault="00292FA9" w:rsidP="00292FA9">
            <w:pPr>
              <w:spacing w:after="0" w:line="240" w:lineRule="auto"/>
              <w:rPr>
                <w:rFonts w:ascii="Arial" w:eastAsia="Times New Roman" w:hAnsi="Arial" w:cs="Arial"/>
                <w:color w:val="403F3F"/>
                <w:sz w:val="19"/>
                <w:szCs w:val="19"/>
                <w:lang w:eastAsia="ru-RU"/>
              </w:rPr>
            </w:pPr>
          </w:p>
        </w:tc>
        <w:tc>
          <w:tcPr>
            <w:tcW w:w="255" w:type="dxa"/>
            <w:hideMark/>
          </w:tcPr>
          <w:p w:rsidR="00292FA9" w:rsidRPr="00292FA9" w:rsidRDefault="00292FA9" w:rsidP="00292FA9">
            <w:pPr>
              <w:spacing w:after="0" w:line="240" w:lineRule="auto"/>
              <w:rPr>
                <w:rFonts w:ascii="Arial" w:eastAsia="Times New Roman" w:hAnsi="Arial" w:cs="Arial"/>
                <w:color w:val="403F3F"/>
                <w:sz w:val="19"/>
                <w:szCs w:val="19"/>
                <w:lang w:eastAsia="ru-RU"/>
              </w:rPr>
            </w:pPr>
          </w:p>
        </w:tc>
      </w:tr>
      <w:tr w:rsidR="00292FA9" w:rsidRPr="00292FA9" w:rsidTr="00292FA9">
        <w:trPr>
          <w:tblCellSpacing w:w="0" w:type="dxa"/>
        </w:trPr>
        <w:tc>
          <w:tcPr>
            <w:tcW w:w="0" w:type="auto"/>
            <w:vAlign w:val="center"/>
            <w:hideMark/>
          </w:tcPr>
          <w:p w:rsidR="00292FA9" w:rsidRPr="00292FA9" w:rsidRDefault="00292FA9" w:rsidP="00292FA9">
            <w:pPr>
              <w:spacing w:after="0" w:line="240" w:lineRule="auto"/>
              <w:rPr>
                <w:rFonts w:ascii="Arial" w:eastAsia="Times New Roman" w:hAnsi="Arial" w:cs="Arial"/>
                <w:color w:val="403F3F"/>
                <w:sz w:val="19"/>
                <w:szCs w:val="19"/>
                <w:lang w:eastAsia="ru-RU"/>
              </w:rPr>
            </w:pPr>
            <w:r w:rsidRPr="00292FA9">
              <w:rPr>
                <w:rFonts w:ascii="Arial" w:eastAsia="Times New Roman" w:hAnsi="Arial" w:cs="Arial"/>
                <w:color w:val="403F3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Mar>
              <w:top w:w="225" w:type="dxa"/>
              <w:left w:w="0" w:type="dxa"/>
              <w:bottom w:w="7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292"/>
            </w:tblGrid>
            <w:tr w:rsidR="00292FA9" w:rsidRPr="00292FA9" w:rsidTr="00292FA9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292FA9" w:rsidRPr="00292FA9" w:rsidRDefault="00292FA9" w:rsidP="00292FA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80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92FA9" w:rsidRPr="00292FA9" w:rsidRDefault="00292FA9" w:rsidP="00292F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9292" w:type="dxa"/>
                  <w:vAlign w:val="center"/>
                  <w:hideMark/>
                </w:tcPr>
                <w:p w:rsidR="00292FA9" w:rsidRDefault="00292FA9" w:rsidP="00292FA9">
                  <w:pPr>
                    <w:spacing w:after="72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403F3F"/>
                      <w:kern w:val="36"/>
                      <w:sz w:val="36"/>
                      <w:szCs w:val="36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bCs/>
                      <w:color w:val="403F3F"/>
                      <w:kern w:val="36"/>
                      <w:sz w:val="36"/>
                      <w:szCs w:val="36"/>
                      <w:lang w:eastAsia="ru-RU"/>
                    </w:rPr>
                    <w:t>Нормативы потребления электроэнергии при отсутствии у потребителя прибора учета</w:t>
                  </w:r>
                </w:p>
                <w:p w:rsidR="00292FA9" w:rsidRPr="00292FA9" w:rsidRDefault="00292FA9" w:rsidP="00292FA9">
                  <w:pPr>
                    <w:spacing w:after="72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403F3F"/>
                      <w:kern w:val="36"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292FA9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В соответствии с п. 42 Постановления Правительства  № 354 от 06.05.2011г. «О предоставлении коммунальных услуг собственникам и пользователям помещений в многоквартирных домах и жилых домов» в целях определения объема потребления электрической энергии гражданами-потребителями в отсутствии приборов учета применяются нормативы потребления коммунальных услуг электроснабжения, установленные в соответствии с жилищным законодательством Российской Федерации.</w:t>
                  </w:r>
                  <w:proofErr w:type="gramEnd"/>
                  <w:r w:rsidRPr="00292FA9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Указанный норматив согласно ст. 157 Жилищного кодекса Российской федерации устанавливается органами государственной власти субъектов Российской Федерации.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 xml:space="preserve">Нормативы потребления электроэнергии при отсутствии приборов учета утверждены Постановлением Правительства Иркутской области 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№ 416/195-пп от 29.12.2009г.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ind w:right="-109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Cs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left="-181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1. Жилищный фонд, оборудованный электрическими плитами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left="-142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кВт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.ч</w:t>
                  </w:r>
                  <w:proofErr w:type="spellEnd"/>
                  <w:proofErr w:type="gramEnd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 на 1 человека в месяц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right="-109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tbl>
                  <w:tblPr>
                    <w:tblW w:w="9540" w:type="dxa"/>
                    <w:tblBorders>
                      <w:top w:val="single" w:sz="4" w:space="0" w:color="F7CF25"/>
                      <w:left w:val="single" w:sz="4" w:space="0" w:color="F7CF25"/>
                      <w:bottom w:val="single" w:sz="4" w:space="0" w:color="F7CF25"/>
                      <w:right w:val="single" w:sz="4" w:space="0" w:color="F7CF25"/>
                      <w:insideH w:val="single" w:sz="4" w:space="0" w:color="F7CF25"/>
                      <w:insideV w:val="single" w:sz="4" w:space="0" w:color="F7CF25"/>
                    </w:tblBorders>
                    <w:tblLook w:val="04A0" w:firstRow="1" w:lastRow="0" w:firstColumn="1" w:lastColumn="0" w:noHBand="0" w:noVBand="1"/>
                  </w:tblPr>
                  <w:tblGrid>
                    <w:gridCol w:w="2732"/>
                    <w:gridCol w:w="1588"/>
                    <w:gridCol w:w="1260"/>
                    <w:gridCol w:w="1260"/>
                    <w:gridCol w:w="1260"/>
                    <w:gridCol w:w="1440"/>
                  </w:tblGrid>
                  <w:tr w:rsidR="00292FA9" w:rsidRPr="00292FA9" w:rsidTr="00292FA9">
                    <w:trPr>
                      <w:trHeight w:val="427"/>
                    </w:trPr>
                    <w:tc>
                      <w:tcPr>
                        <w:tcW w:w="2732" w:type="dxa"/>
                        <w:vMerge w:val="restart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144" w:line="240" w:lineRule="auto"/>
                          <w:jc w:val="center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Количество комнат в квартире (жилом доме)</w:t>
                        </w:r>
                      </w:p>
                    </w:tc>
                    <w:tc>
                      <w:tcPr>
                        <w:tcW w:w="6808" w:type="dxa"/>
                        <w:gridSpan w:val="5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144" w:line="240" w:lineRule="auto"/>
                          <w:jc w:val="center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Количество проживающих, чел.</w:t>
                        </w:r>
                      </w:p>
                    </w:tc>
                  </w:tr>
                  <w:tr w:rsidR="00292FA9" w:rsidRPr="00292FA9" w:rsidTr="00292FA9">
                    <w:trPr>
                      <w:trHeight w:val="311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5 и более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192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69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199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76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225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142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111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81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232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149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118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88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3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246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155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88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3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253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162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95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 и более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164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93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 и более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267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171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135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112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left="-181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ru-RU"/>
                    </w:rPr>
                    <w:t>2. Жилищный фонд, оборудованный газовыми плитами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left="-181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кВт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.ч</w:t>
                  </w:r>
                  <w:proofErr w:type="spellEnd"/>
                  <w:proofErr w:type="gramEnd"/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 на 1 человека в месяц</w:t>
                  </w:r>
                </w:p>
                <w:p w:rsidR="00292FA9" w:rsidRPr="00292FA9" w:rsidRDefault="00292FA9" w:rsidP="00292FA9">
                  <w:pPr>
                    <w:spacing w:after="0" w:line="300" w:lineRule="auto"/>
                    <w:ind w:right="-109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tbl>
                  <w:tblPr>
                    <w:tblW w:w="9540" w:type="dxa"/>
                    <w:tblBorders>
                      <w:top w:val="single" w:sz="4" w:space="0" w:color="F7CF25"/>
                      <w:left w:val="single" w:sz="4" w:space="0" w:color="F7CF25"/>
                      <w:bottom w:val="single" w:sz="4" w:space="0" w:color="F7CF25"/>
                      <w:right w:val="single" w:sz="4" w:space="0" w:color="F7CF25"/>
                      <w:insideH w:val="single" w:sz="4" w:space="0" w:color="F7CF25"/>
                      <w:insideV w:val="single" w:sz="4" w:space="0" w:color="F7CF25"/>
                    </w:tblBorders>
                    <w:tblLook w:val="04A0" w:firstRow="1" w:lastRow="0" w:firstColumn="1" w:lastColumn="0" w:noHBand="0" w:noVBand="1"/>
                  </w:tblPr>
                  <w:tblGrid>
                    <w:gridCol w:w="2732"/>
                    <w:gridCol w:w="1588"/>
                    <w:gridCol w:w="1260"/>
                    <w:gridCol w:w="1260"/>
                    <w:gridCol w:w="1260"/>
                    <w:gridCol w:w="1440"/>
                  </w:tblGrid>
                  <w:tr w:rsidR="00292FA9" w:rsidRPr="00292FA9" w:rsidTr="00292FA9">
                    <w:trPr>
                      <w:trHeight w:val="427"/>
                    </w:trPr>
                    <w:tc>
                      <w:tcPr>
                        <w:tcW w:w="2732" w:type="dxa"/>
                        <w:vMerge w:val="restart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144" w:line="240" w:lineRule="auto"/>
                          <w:jc w:val="center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Количество комнат в квартире (жилом доме)</w:t>
                        </w:r>
                      </w:p>
                    </w:tc>
                    <w:tc>
                      <w:tcPr>
                        <w:tcW w:w="6808" w:type="dxa"/>
                        <w:gridSpan w:val="5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144" w:line="240" w:lineRule="auto"/>
                          <w:jc w:val="center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Количество проживающих, чел.</w:t>
                        </w:r>
                      </w:p>
                    </w:tc>
                  </w:tr>
                  <w:tr w:rsidR="00292FA9" w:rsidRPr="00292FA9" w:rsidTr="00292FA9">
                    <w:trPr>
                      <w:trHeight w:val="311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03F3F"/>
                            <w:sz w:val="19"/>
                            <w:szCs w:val="19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FCEFA2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5 и более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142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52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149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59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181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66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188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73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lastRenderedPageBreak/>
                          <w:t>3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204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129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74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3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211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136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81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 и более (без лифта)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220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139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79</w:t>
                        </w:r>
                      </w:p>
                    </w:tc>
                  </w:tr>
                  <w:tr w:rsidR="00292FA9" w:rsidRPr="00292FA9" w:rsidTr="00292FA9">
                    <w:trPr>
                      <w:trHeight w:val="375"/>
                    </w:trPr>
                    <w:tc>
                      <w:tcPr>
                        <w:tcW w:w="2732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4 и более (с лифтом)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227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146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97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F7CF25"/>
                          <w:left w:val="single" w:sz="4" w:space="0" w:color="F7CF25"/>
                          <w:bottom w:val="single" w:sz="4" w:space="0" w:color="F7CF25"/>
                          <w:right w:val="single" w:sz="4" w:space="0" w:color="F7CF25"/>
                        </w:tcBorders>
                        <w:shd w:val="clear" w:color="auto" w:fill="auto"/>
                        <w:vAlign w:val="center"/>
                        <w:hideMark/>
                      </w:tcPr>
                      <w:p w:rsidR="00292FA9" w:rsidRPr="00292FA9" w:rsidRDefault="00292FA9" w:rsidP="00292FA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03F3F"/>
                            <w:sz w:val="24"/>
                            <w:szCs w:val="24"/>
                            <w:lang w:eastAsia="ru-RU"/>
                          </w:rPr>
                        </w:pPr>
                        <w:r w:rsidRPr="00292FA9">
                          <w:rPr>
                            <w:rFonts w:ascii="Arial" w:eastAsia="Times New Roman" w:hAnsi="Arial" w:cs="Arial"/>
                            <w:color w:val="404040"/>
                            <w:sz w:val="19"/>
                            <w:szCs w:val="19"/>
                            <w:lang w:eastAsia="ru-RU"/>
                          </w:rPr>
                          <w:t>86</w:t>
                        </w:r>
                      </w:p>
                    </w:tc>
                  </w:tr>
                </w:tbl>
                <w:p w:rsidR="00292FA9" w:rsidRPr="00292FA9" w:rsidRDefault="00292FA9" w:rsidP="00292FA9">
                  <w:pPr>
                    <w:spacing w:after="0" w:line="300" w:lineRule="auto"/>
                    <w:ind w:right="-109"/>
                    <w:rPr>
                      <w:rFonts w:ascii="Arial" w:eastAsia="Times New Roman" w:hAnsi="Arial" w:cs="Arial"/>
                      <w:color w:val="403F3F"/>
                      <w:sz w:val="19"/>
                      <w:szCs w:val="19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 Обращаем Ваше внимание, что данные нормативы </w:t>
                  </w: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u w:val="single"/>
                      <w:lang w:eastAsia="ru-RU"/>
                    </w:rPr>
                    <w:t>установлены на 1 человека</w:t>
                  </w: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. Таким образом, для определения 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ежемесячного расхода по нормативу Вам необходимо определить норматив в зависимости </w:t>
                  </w: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от типа плиты, количества 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комнат, количества человек, проживающих в жилом помещении</w:t>
                  </w: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, и умножить на количество проживающих человек.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ind w:right="-469" w:firstLine="708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> 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ind w:right="-469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u w:val="single"/>
                      <w:lang w:eastAsia="ru-RU"/>
                    </w:rPr>
                    <w:t>Пример:</w:t>
                  </w:r>
                  <w:r w:rsidRPr="00292FA9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в 2-х комнатной квартире (без лифта) оборудованной электроплитой проживает 3 человека. 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ind w:right="-469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Норматив установлен 111 кВт*ч 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на</w:t>
                  </w:r>
                  <w:proofErr w:type="gramEnd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чел</w:t>
                  </w:r>
                  <w:proofErr w:type="gramEnd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. в мес. Ежемесячный расход по нормативу для осуществления </w:t>
                  </w:r>
                </w:p>
                <w:p w:rsidR="00292FA9" w:rsidRPr="00292FA9" w:rsidRDefault="00292FA9" w:rsidP="00292FA9">
                  <w:pPr>
                    <w:spacing w:after="0" w:line="240" w:lineRule="auto"/>
                    <w:ind w:right="-469"/>
                    <w:jc w:val="both"/>
                    <w:rPr>
                      <w:rFonts w:ascii="Times New Roman" w:eastAsia="Times New Roman" w:hAnsi="Times New Roman" w:cs="Times New Roman"/>
                      <w:color w:val="403F3F"/>
                      <w:sz w:val="24"/>
                      <w:szCs w:val="24"/>
                      <w:lang w:eastAsia="ru-RU"/>
                    </w:rPr>
                  </w:pPr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платежа = 111 кВт*ч 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на</w:t>
                  </w:r>
                  <w:proofErr w:type="gramEnd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 xml:space="preserve"> </w:t>
                  </w:r>
                  <w:proofErr w:type="gramStart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чел</w:t>
                  </w:r>
                  <w:proofErr w:type="gramEnd"/>
                  <w:r w:rsidRPr="00292FA9">
                    <w:rPr>
                      <w:rFonts w:ascii="Arial" w:eastAsia="Times New Roman" w:hAnsi="Arial" w:cs="Arial"/>
                      <w:b/>
                      <w:color w:val="000000"/>
                      <w:sz w:val="19"/>
                      <w:szCs w:val="19"/>
                      <w:lang w:eastAsia="ru-RU"/>
                    </w:rPr>
                    <w:t>. в мес. * 3 проживающих чел. = 333 кВт*ч.</w:t>
                  </w:r>
                </w:p>
              </w:tc>
            </w:tr>
          </w:tbl>
          <w:p w:rsidR="00292FA9" w:rsidRPr="00292FA9" w:rsidRDefault="00292FA9" w:rsidP="00292FA9">
            <w:pPr>
              <w:spacing w:after="0" w:line="240" w:lineRule="auto"/>
              <w:rPr>
                <w:rFonts w:ascii="Arial" w:eastAsia="Times New Roman" w:hAnsi="Arial" w:cs="Arial"/>
                <w:color w:val="403F3F"/>
                <w:sz w:val="19"/>
                <w:szCs w:val="19"/>
                <w:lang w:eastAsia="ru-RU"/>
              </w:rPr>
            </w:pPr>
          </w:p>
        </w:tc>
      </w:tr>
    </w:tbl>
    <w:p w:rsidR="00E51DF4" w:rsidRDefault="00E51DF4"/>
    <w:sectPr w:rsidR="00E5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7711"/>
    <w:multiLevelType w:val="multilevel"/>
    <w:tmpl w:val="398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A9"/>
    <w:rsid w:val="00292FA9"/>
    <w:rsid w:val="00E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FA9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403F3F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FA9"/>
    <w:rPr>
      <w:rFonts w:ascii="Times New Roman" w:eastAsia="Times New Roman" w:hAnsi="Times New Roman" w:cs="Times New Roman"/>
      <w:b/>
      <w:bCs/>
      <w:color w:val="403F3F"/>
      <w:kern w:val="36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292FA9"/>
    <w:rPr>
      <w:color w:val="3B93ED"/>
      <w:u w:val="single"/>
    </w:rPr>
  </w:style>
  <w:style w:type="character" w:styleId="a4">
    <w:name w:val="Strong"/>
    <w:basedOn w:val="a0"/>
    <w:uiPriority w:val="22"/>
    <w:qFormat/>
    <w:rsid w:val="00292FA9"/>
    <w:rPr>
      <w:b/>
      <w:bCs/>
    </w:rPr>
  </w:style>
  <w:style w:type="paragraph" w:styleId="a5">
    <w:name w:val="Normal (Web)"/>
    <w:basedOn w:val="a"/>
    <w:uiPriority w:val="99"/>
    <w:semiHidden/>
    <w:unhideWhenUsed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FA9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403F3F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FA9"/>
    <w:rPr>
      <w:rFonts w:ascii="Times New Roman" w:eastAsia="Times New Roman" w:hAnsi="Times New Roman" w:cs="Times New Roman"/>
      <w:b/>
      <w:bCs/>
      <w:color w:val="403F3F"/>
      <w:kern w:val="36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292FA9"/>
    <w:rPr>
      <w:color w:val="3B93ED"/>
      <w:u w:val="single"/>
    </w:rPr>
  </w:style>
  <w:style w:type="character" w:styleId="a4">
    <w:name w:val="Strong"/>
    <w:basedOn w:val="a0"/>
    <w:uiPriority w:val="22"/>
    <w:qFormat/>
    <w:rsid w:val="00292FA9"/>
    <w:rPr>
      <w:b/>
      <w:bCs/>
    </w:rPr>
  </w:style>
  <w:style w:type="paragraph" w:styleId="a5">
    <w:name w:val="Normal (Web)"/>
    <w:basedOn w:val="a"/>
    <w:uiPriority w:val="99"/>
    <w:semiHidden/>
    <w:unhideWhenUsed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292FA9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40231">
              <w:marLeft w:val="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0170">
                      <w:marLeft w:val="42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0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20404">
                          <w:marLeft w:val="30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87779">
                              <w:marLeft w:val="30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8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3989">
                                  <w:marLeft w:val="30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4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7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2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2015-03-26T06:27:00Z</dcterms:created>
  <dcterms:modified xsi:type="dcterms:W3CDTF">2015-03-26T06:28:00Z</dcterms:modified>
</cp:coreProperties>
</file>